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6423A" w14:paraId="06BC0ECF" w14:textId="77777777" w:rsidTr="45113462">
        <w:trPr>
          <w:trHeight w:val="10486"/>
        </w:trPr>
        <w:tc>
          <w:tcPr>
            <w:tcW w:w="6997" w:type="dxa"/>
          </w:tcPr>
          <w:p w14:paraId="3814DB21" w14:textId="4BD0E4C8" w:rsidR="00D6423A" w:rsidRDefault="00D6423A" w:rsidP="00D6423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4564EF">
              <w:t>Règlement (CE) n°401/2006 de la commission du 23 février 2006 portant fixation des modes de prélèvement d’échantillon et des méthodes d’analyse pour le contrôle officiel des teneurs en mycotoxines des denrées alimentaires</w:t>
            </w:r>
          </w:p>
          <w:p w14:paraId="672A6659" w14:textId="77777777" w:rsidR="00D6423A" w:rsidRPr="00950D12" w:rsidRDefault="00D6423A" w:rsidP="00D6423A">
            <w:pPr>
              <w:rPr>
                <w:b/>
              </w:rPr>
            </w:pPr>
          </w:p>
          <w:p w14:paraId="4043713E" w14:textId="42A99CC7" w:rsidR="00D6423A" w:rsidRDefault="00D6423A" w:rsidP="00D6423A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B52384DF3DB24A3C8AD8DD4C9775466A"/>
                </w:placeholder>
                <w:date w:fullDate="2006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4EF">
                  <w:t>23/02/2006</w:t>
                </w:r>
              </w:sdtContent>
            </w:sdt>
            <w:r>
              <w:t xml:space="preserve">                 </w:t>
            </w:r>
          </w:p>
          <w:p w14:paraId="40C80871" w14:textId="21445037" w:rsidR="00D6423A" w:rsidRPr="00950D12" w:rsidRDefault="00D6423A" w:rsidP="00D6423A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B52384DF3DB24A3C8AD8DD4C9775466A"/>
                </w:placeholder>
                <w:date w:fullDate="2003-07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4EF">
                  <w:t>01/07/2003</w:t>
                </w:r>
              </w:sdtContent>
            </w:sdt>
          </w:p>
          <w:p w14:paraId="64D42E1A" w14:textId="77777777" w:rsidR="00D6423A" w:rsidRDefault="00D6423A" w:rsidP="00D6423A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610BA13" w14:textId="77777777" w:rsidR="00D6423A" w:rsidRPr="00950D12" w:rsidRDefault="0005622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Norme</w:t>
            </w:r>
          </w:p>
          <w:p w14:paraId="7FD46822" w14:textId="4EB38ED3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Texte réglementaire</w:t>
            </w:r>
          </w:p>
          <w:p w14:paraId="6D839DC9" w14:textId="77777777" w:rsidR="00D6423A" w:rsidRPr="00950D12" w:rsidRDefault="0005622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Référence professionnelle</w:t>
            </w:r>
          </w:p>
          <w:p w14:paraId="6FBCC3FF" w14:textId="77777777" w:rsidR="00D6423A" w:rsidRPr="00950D12" w:rsidRDefault="0005622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Ouvrage, publication</w:t>
            </w:r>
          </w:p>
          <w:p w14:paraId="2FC48B04" w14:textId="77777777" w:rsidR="00D6423A" w:rsidRPr="00950D12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Avis scientifique (ANSES, EFSA)</w:t>
            </w:r>
          </w:p>
          <w:p w14:paraId="1F90D772" w14:textId="77777777" w:rsidR="00D6423A" w:rsidRPr="00950D12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950D12">
              <w:t xml:space="preserve"> Autre</w:t>
            </w:r>
            <w:r w:rsidR="00D6423A">
              <w:t xml:space="preserve"> : </w:t>
            </w:r>
            <w:sdt>
              <w:sdt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056AF67" w14:textId="77777777" w:rsidR="00D6423A" w:rsidRDefault="00D6423A" w:rsidP="00D6423A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F069B57" w14:textId="77777777" w:rsidR="00D6423A" w:rsidRDefault="00056226" w:rsidP="00D6423A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France</w:t>
            </w:r>
          </w:p>
          <w:p w14:paraId="1670AA7D" w14:textId="639F6A26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Europe</w:t>
            </w:r>
          </w:p>
          <w:p w14:paraId="3E14FB36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International</w:t>
            </w:r>
          </w:p>
          <w:p w14:paraId="5729D21B" w14:textId="77777777" w:rsidR="00D6423A" w:rsidRPr="00950D12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1B504FC" w14:textId="77777777" w:rsidR="00D6423A" w:rsidRPr="00950D12" w:rsidRDefault="00D6423A" w:rsidP="00D6423A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712F7EF2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Structure privée (institut, industriels…)</w:t>
            </w:r>
          </w:p>
          <w:p w14:paraId="3C013BD5" w14:textId="30E4C522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Structure réglementaire </w:t>
            </w:r>
          </w:p>
          <w:p w14:paraId="0E100FC3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 </w:t>
            </w:r>
            <w:sdt>
              <w:sdtPr>
                <w:id w:val="238226912"/>
                <w:placeholder>
                  <w:docPart w:val="FBAC432DE99D4B0FB1F7F1582F6D12F8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121D505" w14:textId="749EA7FD" w:rsidR="00D6423A" w:rsidRPr="0089724C" w:rsidRDefault="00D6423A" w:rsidP="00D6423A">
            <w:pPr>
              <w:spacing w:before="240"/>
            </w:pPr>
            <w:r w:rsidRPr="6C49900A">
              <w:rPr>
                <w:b/>
                <w:bCs/>
              </w:rPr>
              <w:t>Secteur/Filière concernée :</w:t>
            </w:r>
            <w:r w:rsidR="0089724C">
              <w:rPr>
                <w:b/>
                <w:bCs/>
              </w:rPr>
              <w:t xml:space="preserve"> T</w:t>
            </w:r>
            <w:r w:rsidR="0089724C" w:rsidRPr="0089724C">
              <w:t>outes les denrées alimentaires</w:t>
            </w:r>
          </w:p>
          <w:p w14:paraId="051FF7F9" w14:textId="77777777" w:rsidR="0089724C" w:rsidRDefault="0D19B081" w:rsidP="45113462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  <w:r w:rsidR="0089724C">
              <w:rPr>
                <w:b/>
                <w:bCs/>
              </w:rPr>
              <w:t xml:space="preserve"> </w:t>
            </w:r>
            <w:r w:rsidR="0089724C" w:rsidRPr="0089724C">
              <w:t>Officiel</w:t>
            </w:r>
          </w:p>
          <w:p w14:paraId="686B57FE" w14:textId="1566A466" w:rsidR="00D6423A" w:rsidRDefault="00D6423A" w:rsidP="0089724C">
            <w:pPr>
              <w:spacing w:before="240"/>
              <w:rPr>
                <w:b/>
                <w:bCs/>
              </w:rPr>
            </w:pPr>
            <w:r w:rsidRPr="45113462">
              <w:rPr>
                <w:b/>
                <w:bCs/>
              </w:rPr>
              <w:t>Références aux documents :</w:t>
            </w:r>
            <w:r w:rsidR="0089724C">
              <w:rPr>
                <w:b/>
                <w:bCs/>
              </w:rPr>
              <w:t xml:space="preserve"> </w:t>
            </w:r>
            <w:r w:rsidR="0089724C" w:rsidRPr="00E2252C">
              <w:t>règlement (CE) n o 882/2004</w:t>
            </w:r>
            <w:r>
              <w:br/>
            </w:r>
          </w:p>
          <w:p w14:paraId="02E2D519" w14:textId="32487CD5" w:rsidR="0089724C" w:rsidRPr="0089724C" w:rsidRDefault="27A0201E" w:rsidP="0089724C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89724C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Documents associés :</w:t>
            </w:r>
            <w:r w:rsidR="0089724C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Ce règlement n°401/2006 et modifié par : </w:t>
            </w:r>
          </w:p>
          <w:p w14:paraId="3B57D0A8" w14:textId="03F9842F" w:rsidR="0089724C" w:rsidRPr="00E2252C" w:rsidRDefault="0089724C" w:rsidP="0089724C">
            <w:r w:rsidRPr="00E2252C">
              <w:t>Règlement (UE) n o 178/2010 de la Commission du 2 mars 2010</w:t>
            </w:r>
          </w:p>
          <w:p w14:paraId="14792B91" w14:textId="32EC83D7" w:rsidR="0089724C" w:rsidRPr="00E2252C" w:rsidRDefault="0089724C" w:rsidP="0089724C">
            <w:r w:rsidRPr="00E2252C">
              <w:t>Règlement (UE) n o 519/2014 de la Commission du 16 mai 2014</w:t>
            </w:r>
          </w:p>
          <w:p w14:paraId="0A37501D" w14:textId="1DBDA1C4" w:rsidR="00D6423A" w:rsidRDefault="00D6423A" w:rsidP="45113462"/>
        </w:tc>
        <w:tc>
          <w:tcPr>
            <w:tcW w:w="6997" w:type="dxa"/>
          </w:tcPr>
          <w:p w14:paraId="52DB9FFC" w14:textId="77777777" w:rsidR="00D6423A" w:rsidRPr="008E6035" w:rsidRDefault="00D6423A" w:rsidP="00D6423A">
            <w:pPr>
              <w:spacing w:before="240"/>
              <w:rPr>
                <w:b/>
              </w:rPr>
            </w:pPr>
            <w:r w:rsidRPr="008E6035">
              <w:rPr>
                <w:b/>
              </w:rPr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072F5D6F" w14:textId="77777777" w:rsidR="00D6423A" w:rsidRPr="000A39E3" w:rsidRDefault="00D6423A" w:rsidP="006639B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7E3EA685" w14:textId="06625F7E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4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Céréales et graminées</w:t>
            </w:r>
            <w:r w:rsidR="004F5780">
              <w:t xml:space="preserve"> (Annexe 1 – partie B)</w:t>
            </w:r>
          </w:p>
          <w:p w14:paraId="188BAB05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Légumineuses</w:t>
            </w:r>
          </w:p>
          <w:p w14:paraId="772AE43D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Oléagineux</w:t>
            </w:r>
          </w:p>
          <w:p w14:paraId="08800AF2" w14:textId="47775EE6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5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Fruits </w:t>
            </w:r>
            <w:r w:rsidR="00BB1B4A">
              <w:t>séchés</w:t>
            </w:r>
            <w:r w:rsidR="000F3C5C">
              <w:t xml:space="preserve"> sauf figues</w:t>
            </w:r>
          </w:p>
          <w:p w14:paraId="65DA0B74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Légumes </w:t>
            </w:r>
          </w:p>
          <w:p w14:paraId="0772DEFE" w14:textId="6287D74F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Epices/ herbes </w:t>
            </w:r>
          </w:p>
          <w:p w14:paraId="69DED9E7" w14:textId="08BDC95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746300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2039775805"/>
                <w:placeholder>
                  <w:docPart w:val="EC7975BAD601496CB172384AAC5705B3"/>
                </w:placeholder>
              </w:sdtPr>
              <w:sdtEndPr/>
              <w:sdtContent>
                <w:r w:rsidR="00BB1B4A">
                  <w:t>Voir paragraphe « représentativité d’échantillonnage – page suivante</w:t>
                </w:r>
                <w:r w:rsidR="00E2252C">
                  <w:t> »</w:t>
                </w:r>
              </w:sdtContent>
            </w:sdt>
          </w:p>
          <w:p w14:paraId="3876EBE7" w14:textId="77777777" w:rsidR="00D6423A" w:rsidRPr="000A39E3" w:rsidRDefault="00D6423A" w:rsidP="00D6423A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DA473E4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Viande </w:t>
            </w:r>
          </w:p>
          <w:p w14:paraId="718C0AAE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Volaille </w:t>
            </w:r>
          </w:p>
          <w:p w14:paraId="2D2C77DE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Œufs </w:t>
            </w:r>
          </w:p>
          <w:p w14:paraId="7AD70CAA" w14:textId="2233F02C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Produits laitiers </w:t>
            </w:r>
          </w:p>
          <w:p w14:paraId="4E572A5A" w14:textId="77777777" w:rsidR="00D6423A" w:rsidRDefault="0005622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 </w:t>
            </w:r>
            <w:sdt>
              <w:sdtPr>
                <w:id w:val="-2117202795"/>
                <w:placeholder>
                  <w:docPart w:val="56001FA0400446688B1C9112B6050765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1F14EBE" w14:textId="77777777" w:rsidR="00B75E96" w:rsidRPr="007414A8" w:rsidRDefault="00B75E96" w:rsidP="00B75E96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07FE3AF0" w14:textId="3957D4DA" w:rsidR="00B75E96" w:rsidRDefault="00056226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>
              <w:t xml:space="preserve"> Solide</w:t>
            </w:r>
          </w:p>
          <w:p w14:paraId="23818FB2" w14:textId="42201A5C" w:rsidR="00BD7390" w:rsidRDefault="00056226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>
              <w:t xml:space="preserve"> Liquide</w:t>
            </w:r>
          </w:p>
          <w:p w14:paraId="15F78D0C" w14:textId="77777777" w:rsidR="00D6423A" w:rsidRPr="007414A8" w:rsidRDefault="00D6423A" w:rsidP="00BD7390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3FBE3C97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Pesticides</w:t>
            </w:r>
          </w:p>
          <w:p w14:paraId="36C3493F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Allergènes</w:t>
            </w:r>
          </w:p>
          <w:p w14:paraId="53A00A26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Facteurs antinutritionnels</w:t>
            </w:r>
          </w:p>
          <w:p w14:paraId="1834A400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HAP</w:t>
            </w:r>
          </w:p>
          <w:p w14:paraId="194B931D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Dioxines &amp; PCB</w:t>
            </w:r>
          </w:p>
          <w:p w14:paraId="12884B0B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Impuretés botaniques</w:t>
            </w:r>
          </w:p>
          <w:p w14:paraId="14B8019F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Métaux</w:t>
            </w:r>
          </w:p>
          <w:p w14:paraId="13300C46" w14:textId="09FFB668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5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Mycotoxines</w:t>
            </w:r>
          </w:p>
          <w:p w14:paraId="10C1825C" w14:textId="77777777" w:rsidR="00D6423A" w:rsidRDefault="0005622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Néoformés</w:t>
            </w:r>
          </w:p>
          <w:p w14:paraId="5797E3C2" w14:textId="77777777" w:rsidR="00BD7390" w:rsidRPr="00BD7390" w:rsidRDefault="00056226" w:rsidP="00E03B0E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-328983561"/>
                <w:placeholder>
                  <w:docPart w:val="A85AC09961C84AE594A7EC2DB621A3BF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5DAB6C7B" w14:textId="77777777" w:rsidR="00B75E96" w:rsidRDefault="00B75E96" w:rsidP="00EA5C20">
      <w:pPr>
        <w:rPr>
          <w:b/>
          <w:u w:val="single"/>
        </w:rPr>
      </w:pPr>
    </w:p>
    <w:p w14:paraId="308F43DA" w14:textId="77777777" w:rsidR="00B75E96" w:rsidRDefault="00B75E96" w:rsidP="00B75E96">
      <w:pPr>
        <w:spacing w:after="0"/>
        <w:rPr>
          <w:b/>
        </w:rPr>
      </w:pPr>
      <w:r>
        <w:rPr>
          <w:b/>
        </w:rPr>
        <w:lastRenderedPageBreak/>
        <w:t>Conditionnement de la matrice</w:t>
      </w:r>
      <w:r w:rsidRPr="00BD7390">
        <w:rPr>
          <w:b/>
        </w:rPr>
        <w:t> :</w:t>
      </w:r>
    </w:p>
    <w:p w14:paraId="4CC13140" w14:textId="160F3B34" w:rsidR="00B75E96" w:rsidRDefault="00056226" w:rsidP="00B75E96">
      <w:pPr>
        <w:spacing w:after="0"/>
        <w:ind w:left="360"/>
        <w:rPr>
          <w:b/>
        </w:rPr>
      </w:pPr>
      <w:sdt>
        <w:sdtPr>
          <w:rPr>
            <w:rFonts w:ascii="MS Gothic" w:eastAsia="MS Gothic" w:hAnsi="MS Gothic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Vrac</w:t>
      </w:r>
      <w:r w:rsidR="00E2252C">
        <w:tab/>
      </w:r>
      <w:sdt>
        <w:sdtPr>
          <w:rPr>
            <w:rFonts w:ascii="MS Gothic" w:eastAsia="MS Gothic" w:hAnsi="MS Gothic"/>
          </w:rPr>
          <w:id w:val="1844514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Conditionné</w:t>
      </w:r>
      <w:r w:rsidR="00B75E96" w:rsidRPr="007414A8">
        <w:rPr>
          <w:b/>
        </w:rPr>
        <w:t xml:space="preserve"> </w:t>
      </w:r>
    </w:p>
    <w:p w14:paraId="5A2B3B36" w14:textId="77777777" w:rsidR="00B75E96" w:rsidRPr="00BD7390" w:rsidRDefault="00B75E96" w:rsidP="00B75E96">
      <w:pPr>
        <w:spacing w:after="0"/>
        <w:rPr>
          <w:b/>
        </w:rPr>
      </w:pPr>
      <w:r w:rsidRPr="00BD7390">
        <w:rPr>
          <w:b/>
        </w:rPr>
        <w:t xml:space="preserve">Méthode </w:t>
      </w:r>
      <w:r>
        <w:rPr>
          <w:b/>
        </w:rPr>
        <w:t>d’échantillonnage</w:t>
      </w:r>
      <w:r w:rsidRPr="00BD7390">
        <w:rPr>
          <w:b/>
        </w:rPr>
        <w:t> :</w:t>
      </w:r>
    </w:p>
    <w:p w14:paraId="78F39109" w14:textId="0DD7BF6D" w:rsidR="00B75E96" w:rsidRPr="000F073B" w:rsidRDefault="00056226" w:rsidP="00B75E96">
      <w:pPr>
        <w:spacing w:after="0"/>
        <w:ind w:left="360"/>
      </w:pPr>
      <w:sdt>
        <w:sdtPr>
          <w:rPr>
            <w:rFonts w:ascii="MS Gothic" w:eastAsia="MS Gothic" w:hAnsi="MS Gothic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7B46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</w:t>
      </w:r>
      <w:r w:rsidR="00B75E96">
        <w:t>Statique</w:t>
      </w:r>
    </w:p>
    <w:p w14:paraId="2B314BEA" w14:textId="77777777" w:rsidR="00B75E96" w:rsidRDefault="00056226" w:rsidP="00B75E96">
      <w:pPr>
        <w:spacing w:after="0"/>
        <w:ind w:firstLine="360"/>
        <w:rPr>
          <w:b/>
          <w:u w:val="single"/>
        </w:rPr>
      </w:pPr>
      <w:sdt>
        <w:sdtPr>
          <w:rPr>
            <w:rFonts w:ascii="MS Gothic" w:eastAsia="MS Gothic" w:hAnsi="MS Gothic"/>
          </w:rPr>
          <w:id w:val="-179828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ascii="MS Gothic" w:eastAsia="MS Gothic" w:hAnsi="MS Gothic" w:hint="eastAsia"/>
            </w:rPr>
            <w:t>☐</w:t>
          </w:r>
        </w:sdtContent>
      </w:sdt>
      <w:r w:rsidR="00B75E96" w:rsidRPr="000F073B">
        <w:t xml:space="preserve"> Con</w:t>
      </w:r>
      <w:r w:rsidR="00B75E96">
        <w:t>tinue</w:t>
      </w:r>
      <w:r w:rsidR="00B75E96">
        <w:rPr>
          <w:b/>
          <w:u w:val="single"/>
        </w:rPr>
        <w:t xml:space="preserve"> </w:t>
      </w:r>
    </w:p>
    <w:p w14:paraId="1A13AFC1" w14:textId="44863E4F" w:rsidR="00B75E96" w:rsidRDefault="00B75E96" w:rsidP="00B75E96">
      <w:pPr>
        <w:pStyle w:val="Paragraphedeliste"/>
        <w:numPr>
          <w:ilvl w:val="0"/>
          <w:numId w:val="1"/>
        </w:numPr>
      </w:pPr>
      <w:r w:rsidRPr="002D57A1">
        <w:rPr>
          <w:b/>
        </w:rPr>
        <w:t>Nb d’échantillons primaires</w:t>
      </w:r>
      <w:r>
        <w:t> :</w:t>
      </w:r>
      <w:r w:rsidR="00927B46">
        <w:t xml:space="preserve"> appelés échantillons élémentaires – Voir Annexe 1</w:t>
      </w:r>
    </w:p>
    <w:p w14:paraId="54483631" w14:textId="47EC81AF" w:rsidR="00B75E96" w:rsidRDefault="00B75E96" w:rsidP="00B75E96">
      <w:pPr>
        <w:pStyle w:val="Paragraphedeliste"/>
        <w:numPr>
          <w:ilvl w:val="0"/>
          <w:numId w:val="1"/>
        </w:numPr>
      </w:pPr>
      <w:r w:rsidRPr="00E2252C">
        <w:rPr>
          <w:b/>
        </w:rPr>
        <w:t xml:space="preserve">Quantité : </w:t>
      </w:r>
      <w:r w:rsidR="00927B46">
        <w:t>Voir Annexe 1</w:t>
      </w:r>
      <w:r w:rsidR="00E2252C">
        <w:tab/>
      </w:r>
      <w:r w:rsidRPr="00E2252C">
        <w:rPr>
          <w:b/>
        </w:rPr>
        <w:t xml:space="preserve">Fréquence : </w:t>
      </w:r>
      <w:r w:rsidR="00927B46">
        <w:t xml:space="preserve"> Non</w:t>
      </w:r>
      <w:r w:rsidR="00E2252C">
        <w:tab/>
      </w:r>
      <w:r w:rsidRPr="00E2252C">
        <w:rPr>
          <w:b/>
        </w:rPr>
        <w:t>Outils de prélèvement :</w:t>
      </w:r>
      <w:r>
        <w:t xml:space="preserve"> </w:t>
      </w:r>
      <w:r w:rsidR="00927B46">
        <w:t>Non</w:t>
      </w:r>
      <w:r w:rsidR="00E2252C">
        <w:tab/>
      </w:r>
      <w:r w:rsidRPr="00E2252C">
        <w:rPr>
          <w:b/>
        </w:rPr>
        <w:t>Délai de mise en analyse :</w:t>
      </w:r>
      <w:r>
        <w:t xml:space="preserve"> </w:t>
      </w:r>
      <w:r w:rsidR="00927B46">
        <w:t>Non</w:t>
      </w:r>
    </w:p>
    <w:p w14:paraId="74758E4F" w14:textId="77777777" w:rsidR="00B75E96" w:rsidRPr="00B73151" w:rsidRDefault="00B75E96" w:rsidP="00B73151">
      <w:pPr>
        <w:spacing w:after="0"/>
        <w:rPr>
          <w:b/>
          <w:u w:val="single"/>
        </w:rPr>
      </w:pPr>
      <w:r w:rsidRPr="00B73151">
        <w:rPr>
          <w:b/>
          <w:u w:val="single"/>
        </w:rPr>
        <w:t>Quels éléments de réponse sont exp</w:t>
      </w:r>
      <w:r w:rsidR="00B73151">
        <w:rPr>
          <w:b/>
          <w:u w:val="single"/>
        </w:rPr>
        <w:t>licités dans le document ?</w:t>
      </w:r>
    </w:p>
    <w:p w14:paraId="1A234CE8" w14:textId="77777777" w:rsidR="00B75E96" w:rsidRPr="000A39E3" w:rsidRDefault="00056226" w:rsidP="00B73151">
      <w:pPr>
        <w:spacing w:before="240" w:after="0"/>
        <w:ind w:firstLine="348"/>
        <w:rPr>
          <w:b/>
        </w:rPr>
      </w:pPr>
      <w:sdt>
        <w:sdtPr>
          <w:rPr>
            <w:rFonts w:ascii="MS Gothic" w:eastAsia="MS Gothic" w:hAnsi="MS Gothic"/>
          </w:rPr>
          <w:id w:val="11524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ascii="MS Gothic" w:eastAsia="MS Gothic" w:hAnsi="MS Gothic" w:hint="eastAsia"/>
            </w:rPr>
            <w:t>☐</w:t>
          </w:r>
        </w:sdtContent>
      </w:sdt>
      <w:r w:rsidR="00B75E96" w:rsidRPr="000A39E3">
        <w:t xml:space="preserve"> </w:t>
      </w:r>
      <w:r w:rsidR="00B75E96" w:rsidRPr="00B75E96">
        <w:rPr>
          <w:b/>
        </w:rPr>
        <w:t>Représentativité d’échantillonnage</w:t>
      </w:r>
      <w:r w:rsidR="00B75E96">
        <w:t xml:space="preserve"> </w:t>
      </w:r>
      <w:r w:rsidR="00B75E96" w:rsidRPr="00707DDC">
        <w:t>(quantité, nb d’échantillons primaires, statistique,…)</w:t>
      </w:r>
    </w:p>
    <w:p w14:paraId="1BCD4EB9" w14:textId="5BAE1033" w:rsidR="00B75E96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C</w:t>
      </w:r>
      <w:r w:rsidR="004F5780">
        <w:t>éréales</w:t>
      </w:r>
      <w:r w:rsidR="000F3C5C">
        <w:t xml:space="preserve"> et produits céréaliers</w:t>
      </w:r>
      <w:r w:rsidR="004F5780">
        <w:t xml:space="preserve"> : Annexe 1 </w:t>
      </w:r>
      <w:r w:rsidR="00BA0214">
        <w:t>- B</w:t>
      </w:r>
    </w:p>
    <w:p w14:paraId="340C36B7" w14:textId="0775BF20" w:rsidR="004F5780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F</w:t>
      </w:r>
      <w:r w:rsidR="00BA0214">
        <w:t xml:space="preserve">ruits séchés à l’exception des figues : Annexe 1 </w:t>
      </w:r>
      <w:r w:rsidR="0042428A">
        <w:t>–</w:t>
      </w:r>
      <w:r w:rsidR="00BA0214">
        <w:t xml:space="preserve"> C</w:t>
      </w:r>
    </w:p>
    <w:p w14:paraId="79334455" w14:textId="2544B719" w:rsidR="0042428A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F</w:t>
      </w:r>
      <w:r w:rsidR="0042428A">
        <w:t xml:space="preserve">igues sèches, les arachides et les fruits à coque : Annexe 1 </w:t>
      </w:r>
      <w:r w:rsidR="00BD1DB1">
        <w:t>–</w:t>
      </w:r>
      <w:r w:rsidR="0042428A">
        <w:t xml:space="preserve"> D</w:t>
      </w:r>
    </w:p>
    <w:p w14:paraId="676328A2" w14:textId="02A923A1" w:rsidR="00BD1DB1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E</w:t>
      </w:r>
      <w:r w:rsidR="00BD1DB1">
        <w:t>pices : Annexe 1 – E</w:t>
      </w:r>
    </w:p>
    <w:p w14:paraId="1B11CACD" w14:textId="5AABB4F3" w:rsidR="00BD1DB1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L</w:t>
      </w:r>
      <w:r w:rsidR="00BE55EE" w:rsidRPr="00BE55EE">
        <w:t xml:space="preserve">ait et les produits laitiers ainsi que les préparations pour nourrissons et les préparations de suite, y compris le lait pour nourrissons, le lait de suite et les aliments diététiques pour nourrissons (lait et produits laitiers) destinés à des fins médicales spéciales : Annexe 1 </w:t>
      </w:r>
      <w:r w:rsidR="00BE55EE">
        <w:t>–</w:t>
      </w:r>
      <w:r w:rsidR="00BE55EE" w:rsidRPr="00BE55EE">
        <w:t xml:space="preserve"> F</w:t>
      </w:r>
    </w:p>
    <w:p w14:paraId="556BF4B0" w14:textId="506AAA2C" w:rsidR="00BE55EE" w:rsidRPr="00BE55EE" w:rsidRDefault="00927B4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Café</w:t>
      </w:r>
      <w:r w:rsidR="00BE55EE" w:rsidRPr="00927B46">
        <w:t xml:space="preserve"> torréfié, du café torréfié moulu, du café soluble, du bois de réglisse et de l’extrait de réglisse. : Annexe 1 – G</w:t>
      </w:r>
    </w:p>
    <w:p w14:paraId="27A6BDB5" w14:textId="3A3E8150" w:rsidR="00BE55EE" w:rsidRPr="00C4303D" w:rsidRDefault="00BE55EE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Vin, jus et moût de raisin, jus de fruits, nectars, spiritueux, cidres et autres boissons fermentées produites à partir de pommes ou contenant du jus de pomme.</w:t>
      </w:r>
      <w:r w:rsidR="00C4303D" w:rsidRPr="00927B46">
        <w:t xml:space="preserve"> – Annexe 1 – H</w:t>
      </w:r>
    </w:p>
    <w:p w14:paraId="18636EA8" w14:textId="2B9DDCEF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Produits solides</w:t>
      </w:r>
      <w:r w:rsidR="00927B46">
        <w:t xml:space="preserve"> </w:t>
      </w:r>
      <w:r w:rsidRPr="00927B46">
        <w:t>à base de pommes – Annexe 1 – I</w:t>
      </w:r>
    </w:p>
    <w:p w14:paraId="29D00B66" w14:textId="57EA1263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Aliments pour bébés, aliments diététiques pour nourrissons – Annexe 1 - J</w:t>
      </w:r>
    </w:p>
    <w:p w14:paraId="4A659A7B" w14:textId="7654F7BA" w:rsidR="00C4303D" w:rsidRPr="00C4303D" w:rsidRDefault="00C4303D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>Huiles végétales – Annexe 1 – K</w:t>
      </w:r>
    </w:p>
    <w:p w14:paraId="3E640D73" w14:textId="51AF9FDC" w:rsidR="00C4303D" w:rsidRPr="003935BF" w:rsidRDefault="00927B46" w:rsidP="003935BF">
      <w:pPr>
        <w:pStyle w:val="Paragraphedeliste"/>
        <w:numPr>
          <w:ilvl w:val="1"/>
          <w:numId w:val="1"/>
        </w:numPr>
        <w:spacing w:after="0"/>
        <w:ind w:left="708"/>
      </w:pPr>
      <w:r w:rsidRPr="00927B46">
        <w:t xml:space="preserve">Méthode d'échantillonnage </w:t>
      </w:r>
      <w:r>
        <w:t>d</w:t>
      </w:r>
      <w:r w:rsidRPr="00927B46">
        <w:t xml:space="preserve">es </w:t>
      </w:r>
      <w:r>
        <w:t>t</w:t>
      </w:r>
      <w:r w:rsidRPr="00927B46">
        <w:t xml:space="preserve">rès </w:t>
      </w:r>
      <w:r>
        <w:t>g</w:t>
      </w:r>
      <w:r w:rsidRPr="00927B46">
        <w:t xml:space="preserve">rands </w:t>
      </w:r>
      <w:r>
        <w:t>l</w:t>
      </w:r>
      <w:r w:rsidRPr="00927B46">
        <w:t xml:space="preserve">ots </w:t>
      </w:r>
      <w:r>
        <w:t>o</w:t>
      </w:r>
      <w:r w:rsidRPr="00927B46">
        <w:t xml:space="preserve">u </w:t>
      </w:r>
      <w:r>
        <w:t>d</w:t>
      </w:r>
      <w:r w:rsidRPr="00927B46">
        <w:t xml:space="preserve">es </w:t>
      </w:r>
      <w:r>
        <w:t>l</w:t>
      </w:r>
      <w:r w:rsidRPr="00927B46">
        <w:t xml:space="preserve">ots </w:t>
      </w:r>
      <w:r>
        <w:t>s</w:t>
      </w:r>
      <w:r w:rsidRPr="00927B46">
        <w:t xml:space="preserve">tockés </w:t>
      </w:r>
      <w:r>
        <w:t>ou</w:t>
      </w:r>
      <w:r w:rsidRPr="00927B46">
        <w:t xml:space="preserve"> </w:t>
      </w:r>
      <w:r>
        <w:t>t</w:t>
      </w:r>
      <w:r w:rsidRPr="00927B46">
        <w:t xml:space="preserve">ransportés </w:t>
      </w:r>
      <w:r>
        <w:t>d</w:t>
      </w:r>
      <w:r w:rsidRPr="00927B46">
        <w:t xml:space="preserve">e </w:t>
      </w:r>
      <w:r>
        <w:t>t</w:t>
      </w:r>
      <w:r w:rsidRPr="00927B46">
        <w:t xml:space="preserve">elle </w:t>
      </w:r>
      <w:r>
        <w:t>m</w:t>
      </w:r>
      <w:r w:rsidRPr="00927B46">
        <w:t xml:space="preserve">anière </w:t>
      </w:r>
      <w:r>
        <w:t>q</w:t>
      </w:r>
      <w:r w:rsidRPr="00927B46">
        <w:t xml:space="preserve">u'il </w:t>
      </w:r>
      <w:r>
        <w:t>e</w:t>
      </w:r>
      <w:r w:rsidRPr="00927B46">
        <w:t xml:space="preserve">st </w:t>
      </w:r>
      <w:r>
        <w:t>i</w:t>
      </w:r>
      <w:r w:rsidRPr="00927B46">
        <w:t xml:space="preserve">mpossible </w:t>
      </w:r>
      <w:r>
        <w:t>d</w:t>
      </w:r>
      <w:r w:rsidRPr="00927B46">
        <w:t xml:space="preserve">e </w:t>
      </w:r>
      <w:r>
        <w:t>p</w:t>
      </w:r>
      <w:r w:rsidRPr="00927B46">
        <w:t xml:space="preserve">rélever </w:t>
      </w:r>
      <w:r>
        <w:t>de</w:t>
      </w:r>
      <w:r w:rsidRPr="00927B46">
        <w:t xml:space="preserve">s </w:t>
      </w:r>
      <w:r>
        <w:t>é</w:t>
      </w:r>
      <w:r w:rsidRPr="00927B46">
        <w:t xml:space="preserve">chantillons </w:t>
      </w:r>
      <w:r>
        <w:t>da</w:t>
      </w:r>
      <w:r w:rsidRPr="00927B46">
        <w:t xml:space="preserve">ns l'ensemble </w:t>
      </w:r>
      <w:r>
        <w:t>d</w:t>
      </w:r>
      <w:r w:rsidRPr="00927B46">
        <w:t xml:space="preserve">u </w:t>
      </w:r>
      <w:r>
        <w:t>l</w:t>
      </w:r>
      <w:r w:rsidRPr="00927B46">
        <w:t>ot</w:t>
      </w:r>
      <w:r w:rsidR="00E2252C" w:rsidRPr="00927B46">
        <w:t xml:space="preserve">– Annexe 1 – </w:t>
      </w:r>
      <w:r w:rsidR="00E2252C">
        <w:t>L</w:t>
      </w:r>
    </w:p>
    <w:p w14:paraId="21D00089" w14:textId="5B28224D" w:rsidR="003935BF" w:rsidRDefault="00927B46" w:rsidP="003935BF">
      <w:pPr>
        <w:pStyle w:val="Paragraphedeliste"/>
        <w:numPr>
          <w:ilvl w:val="1"/>
          <w:numId w:val="1"/>
        </w:numPr>
        <w:spacing w:after="0"/>
        <w:ind w:left="708"/>
      </w:pPr>
      <w:r>
        <w:t>C</w:t>
      </w:r>
      <w:r w:rsidR="00BB1B4A" w:rsidRPr="00927B46">
        <w:t>ompléments</w:t>
      </w:r>
      <w:r w:rsidR="003935BF" w:rsidRPr="00927B46">
        <w:t xml:space="preserve"> alimentaires à base de riz fermenté avec de la levure rouge </w:t>
      </w:r>
      <w:proofErr w:type="spellStart"/>
      <w:r w:rsidR="003935BF" w:rsidRPr="00927B46">
        <w:rPr>
          <w:i/>
          <w:iCs/>
        </w:rPr>
        <w:t>Monascus</w:t>
      </w:r>
      <w:proofErr w:type="spellEnd"/>
      <w:r w:rsidR="003935BF" w:rsidRPr="00927B46">
        <w:rPr>
          <w:i/>
          <w:iCs/>
        </w:rPr>
        <w:t xml:space="preserve"> </w:t>
      </w:r>
      <w:proofErr w:type="spellStart"/>
      <w:r w:rsidR="003935BF" w:rsidRPr="00927B46">
        <w:rPr>
          <w:i/>
          <w:iCs/>
        </w:rPr>
        <w:t>purpureus</w:t>
      </w:r>
      <w:proofErr w:type="spellEnd"/>
      <w:r w:rsidR="003935BF" w:rsidRPr="00927B46">
        <w:rPr>
          <w:i/>
          <w:iCs/>
        </w:rPr>
        <w:t>.</w:t>
      </w:r>
      <w:r w:rsidR="00E2252C">
        <w:rPr>
          <w:i/>
          <w:iCs/>
        </w:rPr>
        <w:t xml:space="preserve"> </w:t>
      </w:r>
      <w:r w:rsidR="00E2252C" w:rsidRPr="00927B46">
        <w:t xml:space="preserve">– Annexe 1 – </w:t>
      </w:r>
      <w:r w:rsidR="00E2252C">
        <w:t>M</w:t>
      </w:r>
    </w:p>
    <w:p w14:paraId="6CEAC297" w14:textId="77777777" w:rsidR="00B75E96" w:rsidRPr="00B73151" w:rsidRDefault="0005622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45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 w:rsidRPr="00B73151">
            <w:rPr>
              <w:rFonts w:ascii="MS Gothic" w:eastAsia="MS Gothic" w:hAnsi="MS Gothic" w:hint="eastAsia"/>
            </w:rPr>
            <w:t>☐</w:t>
          </w:r>
        </w:sdtContent>
      </w:sdt>
      <w:r w:rsidR="00B75E96" w:rsidRPr="00B73151">
        <w:t xml:space="preserve"> </w:t>
      </w:r>
      <w:r w:rsidR="00B75E96" w:rsidRPr="00B73151">
        <w:rPr>
          <w:b/>
        </w:rPr>
        <w:t xml:space="preserve">Méthode d’échantillonnage </w:t>
      </w:r>
      <w:r w:rsidR="00B75E96" w:rsidRPr="00B73151">
        <w:t>(technique, outils, plan d’échantillonnage, fréquence…)</w:t>
      </w:r>
    </w:p>
    <w:p w14:paraId="69560794" w14:textId="5C2D50B4" w:rsidR="00B75E96" w:rsidRDefault="00DD0B44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Annexe 1 - Paragraphe A4 : </w:t>
      </w:r>
      <w:r w:rsidR="00252DB5">
        <w:t>formule mathématique</w:t>
      </w:r>
      <w:r>
        <w:t xml:space="preserve"> pour calculer la fréquence d’échantillonnage</w:t>
      </w:r>
      <w:r w:rsidR="00252DB5">
        <w:t xml:space="preserve"> </w:t>
      </w:r>
      <w:r>
        <w:t>(=nombre d’emballages individuels séparant le prélèvement de deux échantillons).</w:t>
      </w:r>
    </w:p>
    <w:p w14:paraId="517DE122" w14:textId="6532A3BA" w:rsidR="003935BF" w:rsidRPr="00CE2608" w:rsidRDefault="003935BF" w:rsidP="00B73151">
      <w:pPr>
        <w:pStyle w:val="Paragraphedeliste"/>
        <w:numPr>
          <w:ilvl w:val="1"/>
          <w:numId w:val="1"/>
        </w:numPr>
        <w:spacing w:after="0"/>
        <w:ind w:left="708"/>
      </w:pPr>
      <w:r w:rsidRPr="00CE2608">
        <w:rPr>
          <w:color w:val="211D1E"/>
        </w:rPr>
        <w:t>Méthode D'échantillonnage Des Très Grands Lots Ou Des Lots Stockés Ou Transportés De Telle Manière Qu'il Est Impossible De Prélever Des Échantillons Dans L'ensemble Du Lot – Annexe 1 - L</w:t>
      </w:r>
    </w:p>
    <w:p w14:paraId="1B9F2B56" w14:textId="77777777" w:rsidR="00B75E96" w:rsidRPr="00B73151" w:rsidRDefault="0005622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839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 w:rsidRPr="00B73151">
            <w:rPr>
              <w:rFonts w:ascii="MS Gothic" w:eastAsia="MS Gothic" w:hAnsi="MS Gothic" w:hint="eastAsia"/>
            </w:rPr>
            <w:t>☐</w:t>
          </w:r>
        </w:sdtContent>
      </w:sdt>
      <w:r w:rsidR="00B75E96" w:rsidRPr="00B73151">
        <w:rPr>
          <w:b/>
        </w:rPr>
        <w:t xml:space="preserve"> Contamination</w:t>
      </w:r>
      <w:r w:rsidR="00B75E96" w:rsidRPr="00B73151">
        <w:t xml:space="preserve"> (contenants non adaptés, contamination croisée…)</w:t>
      </w:r>
    </w:p>
    <w:p w14:paraId="10F5D0C7" w14:textId="501B2CD6" w:rsidR="00B75E96" w:rsidRDefault="00252DB5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 xml:space="preserve">Paragraphe A.3.7 : quelques précisions sur le </w:t>
      </w:r>
      <w:r w:rsidR="00DD0B44">
        <w:t>conditionnement</w:t>
      </w:r>
      <w:r>
        <w:t>, l’envoi, la fermeture et l’étiquetage des échantillons.</w:t>
      </w:r>
    </w:p>
    <w:p w14:paraId="1B5B8B28" w14:textId="27C998DA" w:rsidR="00B75E96" w:rsidRPr="00B73151" w:rsidRDefault="0005622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8445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2608">
            <w:rPr>
              <w:rFonts w:ascii="MS Gothic" w:eastAsia="MS Gothic" w:hAnsi="MS Gothic" w:hint="eastAsia"/>
            </w:rPr>
            <w:t>☒</w:t>
          </w:r>
        </w:sdtContent>
      </w:sdt>
      <w:r w:rsidR="00B75E96" w:rsidRPr="6C49900A">
        <w:rPr>
          <w:b/>
          <w:bCs/>
        </w:rPr>
        <w:t xml:space="preserve"> Application/Analyse</w:t>
      </w:r>
      <w:r w:rsidR="00B75E96" w:rsidRPr="00B73151">
        <w:t xml:space="preserve"> (</w:t>
      </w:r>
      <w:r w:rsidR="5C65802F" w:rsidRPr="00B73151">
        <w:t>délai avant mise en analyse, conditions de conservation, stockage, stabilité du prélèvement</w:t>
      </w:r>
      <w:r w:rsidR="00B75E96" w:rsidRPr="00B73151">
        <w:t>…)</w:t>
      </w:r>
    </w:p>
    <w:p w14:paraId="2213BF97" w14:textId="37AB2418" w:rsidR="00B75E96" w:rsidRPr="00B75E96" w:rsidRDefault="00BB1B4A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lastRenderedPageBreak/>
        <w:t>L’annexe 1 décrit les critères applicables à la préparation des échantillons et aux méthodes d’analyse utilisées pour le contrôle officiel des teneurs en mycotoxines des denrées alimentaires.</w:t>
      </w:r>
      <w:r w:rsidR="00B75E96" w:rsidRPr="00B75E96">
        <w:rPr>
          <w:b/>
          <w:u w:val="single"/>
        </w:rPr>
        <w:br w:type="page"/>
      </w:r>
    </w:p>
    <w:p w14:paraId="23FAEAFB" w14:textId="77777777" w:rsidR="00EA5C20" w:rsidRDefault="00EA5C20" w:rsidP="00EA5C20">
      <w:pPr>
        <w:rPr>
          <w:b/>
          <w:u w:val="single"/>
        </w:rPr>
      </w:pPr>
      <w:r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2689"/>
        <w:gridCol w:w="9922"/>
        <w:gridCol w:w="1748"/>
      </w:tblGrid>
      <w:tr w:rsidR="005D3C60" w14:paraId="7FDE0E58" w14:textId="77777777" w:rsidTr="003510B4">
        <w:tc>
          <w:tcPr>
            <w:tcW w:w="2689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9922" w:type="dxa"/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1748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3510B4">
        <w:trPr>
          <w:trHeight w:val="1488"/>
        </w:trPr>
        <w:tc>
          <w:tcPr>
            <w:tcW w:w="2689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9922" w:type="dxa"/>
          </w:tcPr>
          <w:p w14:paraId="2A71BC66" w14:textId="77777777" w:rsidR="005D3C60" w:rsidRDefault="00EC4651" w:rsidP="005D3C60">
            <w:r>
              <w:t>Définitions : lot, sous-lot, échantillon élémentaire, échantillon global, échantillon de laboratoire.</w:t>
            </w:r>
          </w:p>
          <w:p w14:paraId="5A39BBE3" w14:textId="307F7D87" w:rsidR="004F5780" w:rsidRPr="005D3C60" w:rsidRDefault="000F3C5C" w:rsidP="000F3C5C">
            <w:pPr>
              <w:tabs>
                <w:tab w:val="left" w:pos="1860"/>
              </w:tabs>
            </w:pPr>
            <w:r>
              <w:t>Pour les céréales et produits céréaliers : des explications détaillées sur la constitutions des échantillons</w:t>
            </w:r>
            <w:r w:rsidR="00BA0214">
              <w:t>, en fonction des poids des lots ou de l’unité de vente au détail.</w:t>
            </w:r>
          </w:p>
        </w:tc>
        <w:tc>
          <w:tcPr>
            <w:tcW w:w="1748" w:type="dxa"/>
          </w:tcPr>
          <w:p w14:paraId="41C8F396" w14:textId="77777777" w:rsidR="005D3C60" w:rsidRPr="005D3C60" w:rsidRDefault="005D3C60" w:rsidP="005D3C60"/>
        </w:tc>
      </w:tr>
      <w:tr w:rsidR="005D3C60" w14:paraId="2BA584A3" w14:textId="77777777" w:rsidTr="003510B4">
        <w:trPr>
          <w:trHeight w:val="1281"/>
        </w:trPr>
        <w:tc>
          <w:tcPr>
            <w:tcW w:w="2689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9922" w:type="dxa"/>
          </w:tcPr>
          <w:p w14:paraId="72A3D3EC" w14:textId="3CA4851A" w:rsidR="005D3C60" w:rsidRPr="005D3C60" w:rsidRDefault="003510B4" w:rsidP="003935BF">
            <w:r w:rsidRPr="00927B46">
              <w:t xml:space="preserve">Méthode d'échantillonnage </w:t>
            </w:r>
            <w:r>
              <w:t>d</w:t>
            </w:r>
            <w:r w:rsidRPr="00927B46">
              <w:t xml:space="preserve">es </w:t>
            </w:r>
            <w:r>
              <w:t>t</w:t>
            </w:r>
            <w:r w:rsidRPr="00927B46">
              <w:t xml:space="preserve">rès </w:t>
            </w:r>
            <w:r>
              <w:t>g</w:t>
            </w:r>
            <w:r w:rsidRPr="00927B46">
              <w:t xml:space="preserve">rands </w:t>
            </w:r>
            <w:r>
              <w:t>l</w:t>
            </w:r>
            <w:r w:rsidRPr="00927B46">
              <w:t xml:space="preserve">ots </w:t>
            </w:r>
            <w:r>
              <w:t>o</w:t>
            </w:r>
            <w:r w:rsidRPr="00927B46">
              <w:t xml:space="preserve">u </w:t>
            </w:r>
            <w:r>
              <w:t>d</w:t>
            </w:r>
            <w:r w:rsidRPr="00927B46">
              <w:t xml:space="preserve">es </w:t>
            </w:r>
            <w:r>
              <w:t>l</w:t>
            </w:r>
            <w:r w:rsidRPr="00927B46">
              <w:t xml:space="preserve">ots </w:t>
            </w:r>
            <w:r>
              <w:t>s</w:t>
            </w:r>
            <w:r w:rsidRPr="00927B46">
              <w:t xml:space="preserve">tockés </w:t>
            </w:r>
            <w:r>
              <w:t>ou</w:t>
            </w:r>
            <w:r w:rsidRPr="00927B46">
              <w:t xml:space="preserve"> </w:t>
            </w:r>
            <w:r>
              <w:t>t</w:t>
            </w:r>
            <w:r w:rsidRPr="00927B46">
              <w:t xml:space="preserve">ransportés </w:t>
            </w:r>
            <w:r>
              <w:t>d</w:t>
            </w:r>
            <w:r w:rsidRPr="00927B46">
              <w:t xml:space="preserve">e </w:t>
            </w:r>
            <w:r>
              <w:t>t</w:t>
            </w:r>
            <w:r w:rsidRPr="00927B46">
              <w:t xml:space="preserve">elle </w:t>
            </w:r>
            <w:r>
              <w:t>m</w:t>
            </w:r>
            <w:r w:rsidRPr="00927B46">
              <w:t xml:space="preserve">anière </w:t>
            </w:r>
            <w:r>
              <w:t>q</w:t>
            </w:r>
            <w:r w:rsidRPr="00927B46">
              <w:t xml:space="preserve">u'il </w:t>
            </w:r>
            <w:r>
              <w:t>e</w:t>
            </w:r>
            <w:r w:rsidRPr="00927B46">
              <w:t xml:space="preserve">st </w:t>
            </w:r>
            <w:r>
              <w:t>i</w:t>
            </w:r>
            <w:r w:rsidRPr="00927B46">
              <w:t xml:space="preserve">mpossible </w:t>
            </w:r>
            <w:r>
              <w:t>d</w:t>
            </w:r>
            <w:r w:rsidRPr="00927B46">
              <w:t xml:space="preserve">e </w:t>
            </w:r>
            <w:r>
              <w:t>p</w:t>
            </w:r>
            <w:r w:rsidRPr="00927B46">
              <w:t xml:space="preserve">rélever </w:t>
            </w:r>
            <w:r>
              <w:t>de</w:t>
            </w:r>
            <w:r w:rsidRPr="00927B46">
              <w:t xml:space="preserve">s </w:t>
            </w:r>
            <w:r>
              <w:t>é</w:t>
            </w:r>
            <w:r w:rsidRPr="00927B46">
              <w:t xml:space="preserve">chantillons </w:t>
            </w:r>
            <w:r>
              <w:t>da</w:t>
            </w:r>
            <w:r w:rsidRPr="00927B46">
              <w:t xml:space="preserve">ns l'ensemble </w:t>
            </w:r>
            <w:r>
              <w:t>d</w:t>
            </w:r>
            <w:r w:rsidRPr="00927B46">
              <w:t xml:space="preserve">u </w:t>
            </w:r>
            <w:r>
              <w:t>l</w:t>
            </w:r>
            <w:r w:rsidRPr="00927B46">
              <w:t>ot</w:t>
            </w:r>
          </w:p>
        </w:tc>
        <w:tc>
          <w:tcPr>
            <w:tcW w:w="1748" w:type="dxa"/>
          </w:tcPr>
          <w:p w14:paraId="0D0B940D" w14:textId="1D5D8F91" w:rsidR="005D3C60" w:rsidRPr="005D3C60" w:rsidRDefault="003510B4" w:rsidP="005D3C60">
            <w:r>
              <w:t>Pas d’information</w:t>
            </w:r>
          </w:p>
        </w:tc>
      </w:tr>
      <w:tr w:rsidR="005D3C60" w14:paraId="0A566965" w14:textId="77777777" w:rsidTr="003510B4">
        <w:trPr>
          <w:trHeight w:val="833"/>
        </w:trPr>
        <w:tc>
          <w:tcPr>
            <w:tcW w:w="2689" w:type="dxa"/>
          </w:tcPr>
          <w:p w14:paraId="34EE5AD1" w14:textId="77777777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9922" w:type="dxa"/>
          </w:tcPr>
          <w:p w14:paraId="0E27B00A" w14:textId="5F9B23A5" w:rsidR="00C4303D" w:rsidRPr="005D3C60" w:rsidRDefault="00C4303D" w:rsidP="003510B4"/>
        </w:tc>
        <w:tc>
          <w:tcPr>
            <w:tcW w:w="1748" w:type="dxa"/>
          </w:tcPr>
          <w:p w14:paraId="60061E4C" w14:textId="41EE470F" w:rsidR="005D3C60" w:rsidRPr="005D3C60" w:rsidRDefault="003510B4" w:rsidP="005D3C60">
            <w:r>
              <w:t>Pas d’information</w:t>
            </w:r>
          </w:p>
        </w:tc>
      </w:tr>
      <w:tr w:rsidR="00B14619" w14:paraId="45E16BB8" w14:textId="77777777" w:rsidTr="003510B4">
        <w:trPr>
          <w:trHeight w:val="2174"/>
        </w:trPr>
        <w:tc>
          <w:tcPr>
            <w:tcW w:w="2689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9922" w:type="dxa"/>
          </w:tcPr>
          <w:p w14:paraId="77EBE7E8" w14:textId="3884FCC4" w:rsidR="00BA0214" w:rsidRPr="003510B4" w:rsidRDefault="00CE2608" w:rsidP="00BA0214">
            <w:pPr>
              <w:rPr>
                <w:b/>
                <w:bCs/>
              </w:rPr>
            </w:pPr>
            <w:r>
              <w:rPr>
                <w:b/>
                <w:bCs/>
              </w:rPr>
              <w:t>Couples Produits / mycotoxines</w:t>
            </w:r>
            <w:r w:rsidR="00BA0214" w:rsidRPr="003510B4">
              <w:rPr>
                <w:b/>
                <w:bCs/>
              </w:rPr>
              <w:t xml:space="preserve"> : </w:t>
            </w:r>
          </w:p>
          <w:p w14:paraId="302C9CC1" w14:textId="04E1DAD7" w:rsidR="00BA0214" w:rsidRPr="00E2252C" w:rsidRDefault="00965610" w:rsidP="00BA0214">
            <w:r>
              <w:rPr>
                <w:b/>
                <w:bCs/>
              </w:rPr>
              <w:t>C</w:t>
            </w:r>
            <w:r w:rsidRPr="00965610">
              <w:rPr>
                <w:b/>
                <w:bCs/>
              </w:rPr>
              <w:t>éréales et les produits céréaliers</w:t>
            </w:r>
            <w:r w:rsidR="003361EA">
              <w:rPr>
                <w:b/>
                <w:bCs/>
              </w:rPr>
              <w:t> :</w:t>
            </w:r>
            <w:r>
              <w:t xml:space="preserve"> </w:t>
            </w:r>
            <w:r w:rsidR="00BA0214" w:rsidRPr="00E2252C">
              <w:t xml:space="preserve">aflatoxine B1, aflatoxines totales, ochratoxine A et toxines de </w:t>
            </w:r>
            <w:r w:rsidR="00BA0214" w:rsidRPr="003361EA">
              <w:rPr>
                <w:i/>
                <w:iCs/>
              </w:rPr>
              <w:t xml:space="preserve">Fusarium </w:t>
            </w:r>
            <w:r w:rsidR="00BA0214" w:rsidRPr="00E2252C">
              <w:t>fixées.</w:t>
            </w:r>
          </w:p>
          <w:p w14:paraId="15D6969B" w14:textId="7F0A3B90" w:rsidR="00965610" w:rsidRDefault="00965610" w:rsidP="00E2252C">
            <w:r w:rsidRPr="00965610">
              <w:rPr>
                <w:b/>
                <w:bCs/>
              </w:rPr>
              <w:t>F</w:t>
            </w:r>
            <w:r w:rsidRPr="00965610">
              <w:rPr>
                <w:b/>
                <w:bCs/>
              </w:rPr>
              <w:t>ruits séchés, à l’exception des figues sèches</w:t>
            </w:r>
            <w:r>
              <w:t xml:space="preserve"> : </w:t>
            </w:r>
            <w:r w:rsidRPr="00E2252C">
              <w:t xml:space="preserve"> </w:t>
            </w:r>
            <w:r w:rsidR="00BA0214" w:rsidRPr="00E2252C">
              <w:t>aflatoxine B1 et aflatoxines totales</w:t>
            </w:r>
            <w:r>
              <w:t>.</w:t>
            </w:r>
            <w:r w:rsidR="00BA0214" w:rsidRPr="00E2252C">
              <w:t xml:space="preserve"> </w:t>
            </w:r>
          </w:p>
          <w:p w14:paraId="1E938187" w14:textId="5124C30A" w:rsidR="0042428A" w:rsidRPr="00E2252C" w:rsidRDefault="00965610" w:rsidP="00E2252C">
            <w:r w:rsidRPr="00965610">
              <w:rPr>
                <w:b/>
                <w:bCs/>
              </w:rPr>
              <w:t>R</w:t>
            </w:r>
            <w:r w:rsidRPr="00965610">
              <w:rPr>
                <w:b/>
                <w:bCs/>
              </w:rPr>
              <w:t>aisins secs</w:t>
            </w:r>
            <w:r>
              <w:t xml:space="preserve"> : </w:t>
            </w:r>
            <w:r w:rsidR="00BA0214" w:rsidRPr="00E2252C">
              <w:t>ochratoxine A</w:t>
            </w:r>
            <w:r>
              <w:t>.</w:t>
            </w:r>
          </w:p>
          <w:p w14:paraId="6DFC7755" w14:textId="278E4DA0" w:rsidR="003361EA" w:rsidRDefault="00FD2BEA" w:rsidP="00BD1DB1">
            <w:r w:rsidRPr="003361EA">
              <w:rPr>
                <w:b/>
                <w:bCs/>
              </w:rPr>
              <w:t>Figues sèches</w:t>
            </w:r>
            <w:r>
              <w:rPr>
                <w:b/>
                <w:bCs/>
              </w:rPr>
              <w:t>, a</w:t>
            </w:r>
            <w:r w:rsidR="00965610" w:rsidRPr="003361EA">
              <w:rPr>
                <w:b/>
                <w:bCs/>
              </w:rPr>
              <w:t>rachides et fruits à coque</w:t>
            </w:r>
            <w:r w:rsidR="00965610">
              <w:t xml:space="preserve"> : </w:t>
            </w:r>
            <w:r w:rsidR="0042428A" w:rsidRPr="00E2252C">
              <w:t>aflatoxine B1 et aflatoxines totales</w:t>
            </w:r>
            <w:r w:rsidR="00965610">
              <w:t>.</w:t>
            </w:r>
          </w:p>
          <w:p w14:paraId="16F2C12F" w14:textId="1E97FF5E" w:rsidR="003361EA" w:rsidRDefault="003361EA" w:rsidP="003361EA">
            <w:r w:rsidRPr="003361EA">
              <w:rPr>
                <w:b/>
                <w:bCs/>
              </w:rPr>
              <w:t>E</w:t>
            </w:r>
            <w:r w:rsidR="00BD1DB1" w:rsidRPr="003361EA">
              <w:rPr>
                <w:b/>
                <w:bCs/>
              </w:rPr>
              <w:t>pices</w:t>
            </w:r>
            <w:r w:rsidR="00BD1DB1" w:rsidRPr="00E2252C">
              <w:t>, sauf s'il s'agit d'épices à particules relativement grandes (répartition hétérogène de la contamination aux mycotoxines)</w:t>
            </w:r>
            <w:r>
              <w:t> :</w:t>
            </w:r>
            <w:r w:rsidRPr="00E2252C">
              <w:t xml:space="preserve"> </w:t>
            </w:r>
            <w:r w:rsidRPr="00E2252C">
              <w:t xml:space="preserve">ochratoxine A, aflatoxine B1 et aflatoxines totales fixées </w:t>
            </w:r>
          </w:p>
          <w:p w14:paraId="626E392E" w14:textId="6CB150EF" w:rsidR="00BD1DB1" w:rsidRPr="00E2252C" w:rsidRDefault="00965610" w:rsidP="00BD1DB1">
            <w:r w:rsidRPr="003361EA">
              <w:rPr>
                <w:b/>
                <w:bCs/>
              </w:rPr>
              <w:t>L</w:t>
            </w:r>
            <w:r w:rsidRPr="003361EA">
              <w:rPr>
                <w:b/>
                <w:bCs/>
              </w:rPr>
              <w:t xml:space="preserve">ait et produits </w:t>
            </w:r>
            <w:r w:rsidRPr="00FD2BEA">
              <w:t xml:space="preserve">laitiers </w:t>
            </w:r>
            <w:r w:rsidR="00BD1DB1" w:rsidRPr="00FD2BEA">
              <w:t>ainsi que les préparations pour nourrissons et les préparations de suite, y compris le lait pour nourrissons, le lait de suite et les aliments diététiques pour nourrissons (lait et produits laitiers) destinés à des fins médicales spéciales</w:t>
            </w:r>
            <w:r>
              <w:t xml:space="preserve"> : </w:t>
            </w:r>
            <w:r w:rsidRPr="00E2252C">
              <w:t xml:space="preserve"> </w:t>
            </w:r>
            <w:r w:rsidRPr="00E2252C">
              <w:t>aflatoxine M1 fixées</w:t>
            </w:r>
            <w:r>
              <w:t>.</w:t>
            </w:r>
          </w:p>
          <w:p w14:paraId="2E2DD94F" w14:textId="1F9CA647" w:rsidR="00BE55EE" w:rsidRPr="00E2252C" w:rsidRDefault="00965610" w:rsidP="00BE55EE">
            <w:r w:rsidRPr="003361EA">
              <w:rPr>
                <w:b/>
                <w:bCs/>
              </w:rPr>
              <w:t>G</w:t>
            </w:r>
            <w:r w:rsidRPr="003361EA">
              <w:rPr>
                <w:b/>
                <w:bCs/>
              </w:rPr>
              <w:t>rains de café torréfié, du café torréfié moulu, du café soluble, du bois de réglisse et de l’extrait de réglisse</w:t>
            </w:r>
            <w:r>
              <w:t xml:space="preserve"> : </w:t>
            </w:r>
            <w:r w:rsidR="00BE55EE" w:rsidRPr="00E2252C">
              <w:t>ochratoxine A</w:t>
            </w:r>
            <w:r>
              <w:t>.</w:t>
            </w:r>
          </w:p>
          <w:p w14:paraId="1C720F05" w14:textId="7EEDF79B" w:rsidR="00E2252C" w:rsidRPr="00E2252C" w:rsidRDefault="00965610" w:rsidP="00E2252C">
            <w:r w:rsidRPr="003361EA">
              <w:rPr>
                <w:b/>
                <w:bCs/>
              </w:rPr>
              <w:t>V</w:t>
            </w:r>
            <w:r w:rsidRPr="003361EA">
              <w:rPr>
                <w:b/>
                <w:bCs/>
              </w:rPr>
              <w:t>in, jus e</w:t>
            </w:r>
            <w:r w:rsidRPr="003361EA">
              <w:rPr>
                <w:b/>
                <w:bCs/>
              </w:rPr>
              <w:t>t</w:t>
            </w:r>
            <w:r w:rsidRPr="003361EA">
              <w:rPr>
                <w:b/>
                <w:bCs/>
              </w:rPr>
              <w:t xml:space="preserve"> moût de raisin</w:t>
            </w:r>
            <w:r>
              <w:t xml:space="preserve"> : </w:t>
            </w:r>
            <w:r w:rsidR="00BE55EE" w:rsidRPr="00E2252C">
              <w:t>ochratoxine A</w:t>
            </w:r>
            <w:r>
              <w:t>.</w:t>
            </w:r>
          </w:p>
          <w:p w14:paraId="1E91EF78" w14:textId="26AACDC1" w:rsidR="00BE55EE" w:rsidRPr="00E2252C" w:rsidRDefault="009D7485" w:rsidP="00E2252C">
            <w:r w:rsidRPr="003361EA">
              <w:rPr>
                <w:b/>
                <w:bCs/>
              </w:rPr>
              <w:t>J</w:t>
            </w:r>
            <w:r w:rsidR="00BE55EE" w:rsidRPr="003361EA">
              <w:rPr>
                <w:b/>
                <w:bCs/>
              </w:rPr>
              <w:t>us de fruits, nectars, spiritueux, cidres et autres boissons fermentées produites à partir de pommes ou contenant du jus de pomme</w:t>
            </w:r>
            <w:r>
              <w:t xml:space="preserve"> : </w:t>
            </w:r>
            <w:r w:rsidRPr="00E2252C">
              <w:t xml:space="preserve"> </w:t>
            </w:r>
            <w:proofErr w:type="spellStart"/>
            <w:r w:rsidRPr="00E2252C">
              <w:t>patuline</w:t>
            </w:r>
            <w:proofErr w:type="spellEnd"/>
          </w:p>
          <w:p w14:paraId="22792F5A" w14:textId="77777777" w:rsidR="009D7485" w:rsidRDefault="009D7485" w:rsidP="00C4303D">
            <w:r w:rsidRPr="003361EA">
              <w:rPr>
                <w:b/>
                <w:bCs/>
              </w:rPr>
              <w:t>A</w:t>
            </w:r>
            <w:r w:rsidRPr="003361EA">
              <w:rPr>
                <w:b/>
                <w:bCs/>
              </w:rPr>
              <w:t>liments pour bébés</w:t>
            </w:r>
            <w:r>
              <w:t xml:space="preserve"> : </w:t>
            </w:r>
            <w:r w:rsidR="00C4303D" w:rsidRPr="00E2252C">
              <w:t>aflatoxines, ochratoxine A et toxines de Fusarium</w:t>
            </w:r>
            <w:r>
              <w:t>.</w:t>
            </w:r>
          </w:p>
          <w:p w14:paraId="44D2C104" w14:textId="77777777" w:rsidR="009D7485" w:rsidRDefault="009D7485" w:rsidP="00C4303D">
            <w:r w:rsidRPr="003361EA">
              <w:rPr>
                <w:b/>
                <w:bCs/>
              </w:rPr>
              <w:t>H</w:t>
            </w:r>
            <w:r w:rsidRPr="003361EA">
              <w:rPr>
                <w:b/>
                <w:bCs/>
              </w:rPr>
              <w:t>uiles végétales</w:t>
            </w:r>
            <w:r>
              <w:t xml:space="preserve"> : </w:t>
            </w:r>
            <w:r w:rsidR="00C4303D" w:rsidRPr="00E2252C">
              <w:t xml:space="preserve">aflatoxine B1, aflatoxines totales et </w:t>
            </w:r>
            <w:proofErr w:type="spellStart"/>
            <w:r w:rsidR="00C4303D" w:rsidRPr="00E2252C">
              <w:t>zéaralénone</w:t>
            </w:r>
            <w:proofErr w:type="spellEnd"/>
            <w:r w:rsidR="00C4303D" w:rsidRPr="00E2252C">
              <w:t xml:space="preserve"> fixées </w:t>
            </w:r>
          </w:p>
          <w:p w14:paraId="44EAFD9C" w14:textId="6F38E9FC" w:rsidR="003935BF" w:rsidRPr="00BD1DB1" w:rsidRDefault="009D7485" w:rsidP="003935BF">
            <w:r w:rsidRPr="003361EA">
              <w:rPr>
                <w:b/>
                <w:bCs/>
              </w:rPr>
              <w:t>C</w:t>
            </w:r>
            <w:r w:rsidR="003935BF" w:rsidRPr="003361EA">
              <w:rPr>
                <w:b/>
                <w:bCs/>
              </w:rPr>
              <w:t xml:space="preserve">ompléments alimentaires </w:t>
            </w:r>
            <w:r w:rsidR="003935BF" w:rsidRPr="00CE2608">
              <w:t xml:space="preserve">à base de riz fermenté avec de la levure rouge </w:t>
            </w:r>
            <w:proofErr w:type="spellStart"/>
            <w:r w:rsidR="003935BF" w:rsidRPr="00CE2608">
              <w:t>Monascus</w:t>
            </w:r>
            <w:proofErr w:type="spellEnd"/>
            <w:r w:rsidR="003935BF" w:rsidRPr="00CE2608">
              <w:t xml:space="preserve"> </w:t>
            </w:r>
            <w:proofErr w:type="spellStart"/>
            <w:r w:rsidR="003935BF" w:rsidRPr="00CE2608">
              <w:t>purpureus</w:t>
            </w:r>
            <w:proofErr w:type="spellEnd"/>
            <w:r>
              <w:t xml:space="preserve"> : </w:t>
            </w:r>
            <w:proofErr w:type="spellStart"/>
            <w:r w:rsidRPr="00E2252C">
              <w:t>citrinine</w:t>
            </w:r>
            <w:proofErr w:type="spellEnd"/>
            <w:r w:rsidRPr="00E2252C">
              <w:t xml:space="preserve"> fixée</w:t>
            </w:r>
            <w:r>
              <w:t>.</w:t>
            </w:r>
          </w:p>
        </w:tc>
        <w:tc>
          <w:tcPr>
            <w:tcW w:w="1748" w:type="dxa"/>
          </w:tcPr>
          <w:p w14:paraId="4B94D5A5" w14:textId="57B81C3E" w:rsidR="00B14619" w:rsidRPr="005D3C60" w:rsidRDefault="003510B4" w:rsidP="005D3C60">
            <w:r>
              <w:t>Pas d’information</w:t>
            </w:r>
            <w:r w:rsidR="003361EA">
              <w:t xml:space="preserve"> sur </w:t>
            </w:r>
            <w:r w:rsidR="003361EA">
              <w:t>délai avant mise en analyse, conditions de conservation, stockage, stabilité du prélèvement</w:t>
            </w:r>
            <w:r w:rsidR="003361EA">
              <w:t>.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CE260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6"/>
    <w:rsid w:val="000245C4"/>
    <w:rsid w:val="00051FA2"/>
    <w:rsid w:val="00056226"/>
    <w:rsid w:val="000F3C5C"/>
    <w:rsid w:val="00164672"/>
    <w:rsid w:val="001C457E"/>
    <w:rsid w:val="00252DB5"/>
    <w:rsid w:val="002740B1"/>
    <w:rsid w:val="003361EA"/>
    <w:rsid w:val="003510B4"/>
    <w:rsid w:val="003935BF"/>
    <w:rsid w:val="0042428A"/>
    <w:rsid w:val="00453741"/>
    <w:rsid w:val="004564EF"/>
    <w:rsid w:val="004F4AC0"/>
    <w:rsid w:val="004F5780"/>
    <w:rsid w:val="005C74B8"/>
    <w:rsid w:val="005D3C60"/>
    <w:rsid w:val="006639BA"/>
    <w:rsid w:val="00707DDC"/>
    <w:rsid w:val="0089724C"/>
    <w:rsid w:val="0090331B"/>
    <w:rsid w:val="00927B46"/>
    <w:rsid w:val="00965610"/>
    <w:rsid w:val="009D7485"/>
    <w:rsid w:val="00A04D07"/>
    <w:rsid w:val="00A10AAD"/>
    <w:rsid w:val="00AC2F16"/>
    <w:rsid w:val="00B14619"/>
    <w:rsid w:val="00B73151"/>
    <w:rsid w:val="00B75E96"/>
    <w:rsid w:val="00BA0214"/>
    <w:rsid w:val="00BB1B4A"/>
    <w:rsid w:val="00BD1DB1"/>
    <w:rsid w:val="00BD7390"/>
    <w:rsid w:val="00BE55EE"/>
    <w:rsid w:val="00C4303D"/>
    <w:rsid w:val="00C43E67"/>
    <w:rsid w:val="00CE2608"/>
    <w:rsid w:val="00D6423A"/>
    <w:rsid w:val="00DD0B44"/>
    <w:rsid w:val="00E03B0E"/>
    <w:rsid w:val="00E2252C"/>
    <w:rsid w:val="00EA5C20"/>
    <w:rsid w:val="00EC4651"/>
    <w:rsid w:val="00F74DCD"/>
    <w:rsid w:val="00FD2BEA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customStyle="1" w:styleId="CM1">
    <w:name w:val="CM1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A021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1"/>
    <w:rsid w:val="00453741"/>
    <w:rsid w:val="006D3DC6"/>
    <w:rsid w:val="00A74141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7AD98-FBE7-4DAD-9301-CEDC70E3DC20}"/>
</file>

<file path=customXml/itemProps3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Schwebel</dc:creator>
  <cp:keywords/>
  <dc:description/>
  <cp:lastModifiedBy>Famille Pinoit</cp:lastModifiedBy>
  <cp:revision>17</cp:revision>
  <dcterms:created xsi:type="dcterms:W3CDTF">2021-06-02T13:00:00Z</dcterms:created>
  <dcterms:modified xsi:type="dcterms:W3CDTF">2021-12-06T17:19:00Z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