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6423A" w14:paraId="06BC0ECF" w14:textId="77777777" w:rsidTr="45113462">
        <w:trPr>
          <w:trHeight w:val="10486"/>
        </w:trPr>
        <w:tc>
          <w:tcPr>
            <w:tcW w:w="6997" w:type="dxa"/>
          </w:tcPr>
          <w:p w14:paraId="3814DB21" w14:textId="28B297FA" w:rsidR="00D6423A" w:rsidRPr="00C8502D" w:rsidRDefault="00D6423A" w:rsidP="00FF159D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C8502D">
              <w:rPr>
                <w:b/>
              </w:rPr>
              <w:t>Intitulé :</w:t>
            </w:r>
            <w:r w:rsidRPr="00C8502D">
              <w:t xml:space="preserve"> </w:t>
            </w:r>
            <w:r w:rsidR="00FF159D" w:rsidRPr="00C8502D">
              <w:t>Règlement d’exécution</w:t>
            </w:r>
            <w:r w:rsidR="00C8502D">
              <w:t xml:space="preserve"> (UE) 2023/278</w:t>
            </w:r>
            <w:r w:rsidR="003F2BD1">
              <w:t>3</w:t>
            </w:r>
            <w:r w:rsidR="00FF159D" w:rsidRPr="00C8502D">
              <w:t xml:space="preserve"> de la commission du 14 décembre 2023 portant fixation des modes de prélèvement d’échantillons et des méthodes d’analyse pour le contrôle des</w:t>
            </w:r>
            <w:r w:rsidR="003F6C88">
              <w:t xml:space="preserve"> teneurs en </w:t>
            </w:r>
            <w:r w:rsidR="00C15F1F">
              <w:t xml:space="preserve">toxines végétales </w:t>
            </w:r>
            <w:r w:rsidR="00FF159D" w:rsidRPr="00C8502D">
              <w:t>des denrées alimentai</w:t>
            </w:r>
            <w:r w:rsidR="00C15F1F">
              <w:t>res et abrogeant le règlement (UE</w:t>
            </w:r>
            <w:r w:rsidR="00FF159D" w:rsidRPr="00C8502D">
              <w:t xml:space="preserve">) </w:t>
            </w:r>
            <w:r w:rsidR="00C15F1F">
              <w:t>2015/705</w:t>
            </w:r>
          </w:p>
          <w:p w14:paraId="672A6659" w14:textId="77777777" w:rsidR="00D6423A" w:rsidRPr="00C8502D" w:rsidRDefault="00D6423A" w:rsidP="00D6423A">
            <w:pPr>
              <w:rPr>
                <w:b/>
              </w:rPr>
            </w:pPr>
          </w:p>
          <w:p w14:paraId="4043713E" w14:textId="6D18312E" w:rsidR="00D6423A" w:rsidRPr="00C8502D" w:rsidRDefault="00D6423A" w:rsidP="00D6423A">
            <w:r w:rsidRPr="00C8502D">
              <w:rPr>
                <w:b/>
              </w:rPr>
              <w:t>Date </w:t>
            </w:r>
            <w:r w:rsidRPr="00C8502D">
              <w:t xml:space="preserve">: </w:t>
            </w:r>
            <w:sdt>
              <w:sdtPr>
                <w:id w:val="-1174803362"/>
                <w:placeholder>
                  <w:docPart w:val="B52384DF3DB24A3C8AD8DD4C9775466A"/>
                </w:placeholder>
                <w:date w:fullDate="2023-12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F159D" w:rsidRPr="00C8502D">
                  <w:t>15/12/2023</w:t>
                </w:r>
              </w:sdtContent>
            </w:sdt>
            <w:r w:rsidRPr="00C8502D">
              <w:t xml:space="preserve">                 </w:t>
            </w:r>
          </w:p>
          <w:p w14:paraId="40C80871" w14:textId="62A24C76" w:rsidR="00D6423A" w:rsidRPr="00C8502D" w:rsidRDefault="00D6423A" w:rsidP="00C15F1F">
            <w:pPr>
              <w:jc w:val="both"/>
            </w:pPr>
            <w:r w:rsidRPr="00C8502D">
              <w:rPr>
                <w:b/>
              </w:rPr>
              <w:t>Date d’application :</w:t>
            </w:r>
            <w:r w:rsidRPr="00C8502D">
              <w:t xml:space="preserve"> </w:t>
            </w:r>
            <w:r w:rsidR="00C15F1F">
              <w:t>01/04/2024. A noter que les méthodes d’analyses qui ont été validées avant l’entrée en application du présent règlement peuvent s’appliquer jusqu’au premier juillet 2028 même si elles ne satisfont pas à toutes les exigences spécifiques visées au point 4.2 de l’annexe II du présent règlement</w:t>
            </w:r>
          </w:p>
          <w:p w14:paraId="64D42E1A" w14:textId="77777777" w:rsidR="00D6423A" w:rsidRPr="00C8502D" w:rsidRDefault="00D6423A" w:rsidP="00D6423A">
            <w:p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Nature du document : </w:t>
            </w:r>
          </w:p>
          <w:p w14:paraId="6610BA13" w14:textId="77777777" w:rsidR="00D6423A" w:rsidRPr="00C8502D" w:rsidRDefault="004A22A7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Norme</w:t>
            </w:r>
          </w:p>
          <w:p w14:paraId="7FD46822" w14:textId="4EB38ED3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Texte réglementaire</w:t>
            </w:r>
          </w:p>
          <w:p w14:paraId="6D839DC9" w14:textId="77777777" w:rsidR="00D6423A" w:rsidRPr="00C8502D" w:rsidRDefault="004A22A7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Référence professionnelle</w:t>
            </w:r>
          </w:p>
          <w:p w14:paraId="6FBCC3FF" w14:textId="77777777" w:rsidR="00D6423A" w:rsidRPr="00C8502D" w:rsidRDefault="004A22A7" w:rsidP="00D6423A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Ouvrage, publication</w:t>
            </w:r>
          </w:p>
          <w:p w14:paraId="2FC48B04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Avis scientifique (ANSES, EFSA)</w:t>
            </w:r>
          </w:p>
          <w:p w14:paraId="1F90D772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056AF67" w14:textId="77777777" w:rsidR="00D6423A" w:rsidRPr="00C8502D" w:rsidRDefault="00D6423A" w:rsidP="00D6423A">
            <w:p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Pays : </w:t>
            </w:r>
          </w:p>
          <w:p w14:paraId="7F069B57" w14:textId="77777777" w:rsidR="00D6423A" w:rsidRPr="00C8502D" w:rsidRDefault="004A22A7" w:rsidP="00D6423A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France</w:t>
            </w:r>
          </w:p>
          <w:p w14:paraId="1670AA7D" w14:textId="639F6A26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Europe</w:t>
            </w:r>
          </w:p>
          <w:p w14:paraId="3E14FB36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International</w:t>
            </w:r>
          </w:p>
          <w:p w14:paraId="5729D21B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1B504FC" w14:textId="77777777" w:rsidR="00D6423A" w:rsidRPr="00C8502D" w:rsidRDefault="00D6423A" w:rsidP="00D6423A">
            <w:pPr>
              <w:spacing w:before="240"/>
            </w:pPr>
            <w:r w:rsidRPr="00C8502D">
              <w:rPr>
                <w:b/>
              </w:rPr>
              <w:t xml:space="preserve">Rédacteur : </w:t>
            </w:r>
          </w:p>
          <w:p w14:paraId="712F7EF2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Structure privée (institut, industriels…)</w:t>
            </w:r>
          </w:p>
          <w:p w14:paraId="3C013BD5" w14:textId="30E4C522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4EF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Structure réglementaire </w:t>
            </w:r>
          </w:p>
          <w:p w14:paraId="0E100FC3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238226912"/>
                <w:placeholder>
                  <w:docPart w:val="FBAC432DE99D4B0FB1F7F1582F6D12F8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121D505" w14:textId="749EA7FD" w:rsidR="00D6423A" w:rsidRPr="00C8502D" w:rsidRDefault="00D6423A" w:rsidP="00D6423A">
            <w:pPr>
              <w:spacing w:before="240"/>
            </w:pPr>
            <w:r w:rsidRPr="00C8502D">
              <w:rPr>
                <w:b/>
                <w:bCs/>
              </w:rPr>
              <w:t>Secteur/Filière concernée :</w:t>
            </w:r>
            <w:r w:rsidR="0089724C" w:rsidRPr="00C8502D">
              <w:rPr>
                <w:b/>
                <w:bCs/>
              </w:rPr>
              <w:t xml:space="preserve"> </w:t>
            </w:r>
            <w:r w:rsidR="0089724C" w:rsidRPr="003F6C88">
              <w:rPr>
                <w:bCs/>
              </w:rPr>
              <w:t>T</w:t>
            </w:r>
            <w:r w:rsidR="0089724C" w:rsidRPr="00C8502D">
              <w:t>outes les denrées alimentaires</w:t>
            </w:r>
          </w:p>
          <w:p w14:paraId="051FF7F9" w14:textId="77777777" w:rsidR="0089724C" w:rsidRPr="00C8502D" w:rsidRDefault="0D19B081" w:rsidP="45113462">
            <w:pPr>
              <w:spacing w:before="240"/>
              <w:rPr>
                <w:b/>
                <w:bCs/>
              </w:rPr>
            </w:pPr>
            <w:r w:rsidRPr="00C8502D">
              <w:rPr>
                <w:b/>
                <w:bCs/>
              </w:rPr>
              <w:t>Type de contrôle :</w:t>
            </w:r>
            <w:r w:rsidR="0089724C" w:rsidRPr="00C8502D">
              <w:rPr>
                <w:b/>
                <w:bCs/>
              </w:rPr>
              <w:t xml:space="preserve"> </w:t>
            </w:r>
            <w:r w:rsidR="0089724C" w:rsidRPr="00C8502D">
              <w:t>Officiel</w:t>
            </w:r>
          </w:p>
          <w:p w14:paraId="613E3E56" w14:textId="2BC8481E" w:rsidR="00FF159D" w:rsidRPr="00C8502D" w:rsidRDefault="00D6423A" w:rsidP="0089724C">
            <w:pPr>
              <w:spacing w:before="240"/>
            </w:pPr>
            <w:r w:rsidRPr="00C8502D">
              <w:rPr>
                <w:b/>
                <w:bCs/>
              </w:rPr>
              <w:t>Références aux documents :</w:t>
            </w:r>
            <w:r w:rsidR="00C15F1F">
              <w:t xml:space="preserve"> Il abroge le règlement (UE</w:t>
            </w:r>
            <w:r w:rsidR="00BE65B5">
              <w:t xml:space="preserve">) </w:t>
            </w:r>
            <w:r w:rsidR="00C15F1F">
              <w:t>2015/705</w:t>
            </w:r>
          </w:p>
          <w:p w14:paraId="686B57FE" w14:textId="2BEA6673" w:rsidR="00D6423A" w:rsidRPr="00C8502D" w:rsidRDefault="00D6423A" w:rsidP="0089724C">
            <w:pPr>
              <w:spacing w:before="240"/>
              <w:rPr>
                <w:b/>
                <w:bCs/>
              </w:rPr>
            </w:pPr>
          </w:p>
          <w:p w14:paraId="0A37501D" w14:textId="374F9935" w:rsidR="00BE65B5" w:rsidRPr="00C8502D" w:rsidRDefault="27A0201E" w:rsidP="00BE65B5">
            <w:pPr>
              <w:pStyle w:val="Default"/>
            </w:pPr>
            <w:r w:rsidRPr="00C8502D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Documents associés :</w:t>
            </w:r>
            <w:r w:rsidR="0089724C" w:rsidRPr="00C8502D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F159D" w:rsidRPr="00C8502D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pas de modifications à date</w:t>
            </w:r>
          </w:p>
        </w:tc>
        <w:tc>
          <w:tcPr>
            <w:tcW w:w="6997" w:type="dxa"/>
          </w:tcPr>
          <w:p w14:paraId="52DB9FFC" w14:textId="509AF673" w:rsidR="00D6423A" w:rsidRPr="003F2BD1" w:rsidRDefault="00D6423A" w:rsidP="00D6423A">
            <w:pPr>
              <w:spacing w:before="240"/>
            </w:pPr>
            <w:r w:rsidRPr="00C8502D">
              <w:rPr>
                <w:b/>
              </w:rPr>
              <w:t>Matrices considérées :</w:t>
            </w:r>
            <w:r w:rsidR="003F2BD1">
              <w:rPr>
                <w:b/>
              </w:rPr>
              <w:t xml:space="preserve"> </w:t>
            </w:r>
            <w:r w:rsidR="003F2BD1" w:rsidRPr="003F2BD1">
              <w:t>renvoi au Règlement d’exécution (UE) 2023/2782</w:t>
            </w:r>
          </w:p>
          <w:p w14:paraId="072F5D6F" w14:textId="77777777" w:rsidR="00D6423A" w:rsidRPr="00C8502D" w:rsidRDefault="00D6423A" w:rsidP="006639BA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C8502D">
              <w:rPr>
                <w:b/>
              </w:rPr>
              <w:t xml:space="preserve">Originale végétale : </w:t>
            </w:r>
          </w:p>
          <w:p w14:paraId="7E3EA685" w14:textId="4C486BBD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Céréales et graminées</w:t>
            </w:r>
            <w:r w:rsidR="004F5780" w:rsidRPr="00C8502D">
              <w:t xml:space="preserve"> </w:t>
            </w:r>
          </w:p>
          <w:p w14:paraId="188BAB05" w14:textId="08F2321A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5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Légumineuses</w:t>
            </w:r>
          </w:p>
          <w:p w14:paraId="772AE43D" w14:textId="3056D4D8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Oléagineux</w:t>
            </w:r>
            <w:r w:rsidR="00BE65B5">
              <w:t xml:space="preserve"> autres que arachides</w:t>
            </w:r>
          </w:p>
          <w:p w14:paraId="08800AF2" w14:textId="03A61869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Fruits </w:t>
            </w:r>
            <w:r w:rsidR="00BB1B4A" w:rsidRPr="00C8502D">
              <w:t>séchés</w:t>
            </w:r>
          </w:p>
          <w:p w14:paraId="65DA0B74" w14:textId="77777777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Légumes </w:t>
            </w:r>
          </w:p>
          <w:p w14:paraId="0772DEFE" w14:textId="760EF574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Epices/ herbes </w:t>
            </w:r>
          </w:p>
          <w:p w14:paraId="69DED9E7" w14:textId="083932DF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746300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2039775805"/>
                <w:placeholder>
                  <w:docPart w:val="EC7975BAD601496CB172384AAC5705B3"/>
                </w:placeholder>
              </w:sdtPr>
              <w:sdtEndPr/>
              <w:sdtContent>
                <w:r w:rsidR="005C1838">
                  <w:t>produit séché</w:t>
                </w:r>
                <w:r>
                  <w:t> ; miel</w:t>
                </w:r>
              </w:sdtContent>
            </w:sdt>
          </w:p>
          <w:p w14:paraId="3876EBE7" w14:textId="77777777" w:rsidR="00D6423A" w:rsidRPr="00C8502D" w:rsidRDefault="00D6423A" w:rsidP="00D6423A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C8502D">
              <w:rPr>
                <w:b/>
              </w:rPr>
              <w:t xml:space="preserve">Origine animale : </w:t>
            </w:r>
          </w:p>
          <w:p w14:paraId="3DA473E4" w14:textId="77777777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Viande </w:t>
            </w:r>
          </w:p>
          <w:p w14:paraId="718C0AAE" w14:textId="77777777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Volaille </w:t>
            </w:r>
          </w:p>
          <w:p w14:paraId="2D2C77DE" w14:textId="77777777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Œufs </w:t>
            </w:r>
          </w:p>
          <w:p w14:paraId="7AD70CAA" w14:textId="16A1FE80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8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Produits laitiers </w:t>
            </w:r>
          </w:p>
          <w:p w14:paraId="4E572A5A" w14:textId="77777777" w:rsidR="00D6423A" w:rsidRPr="00C8502D" w:rsidRDefault="004A22A7" w:rsidP="00D6423A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-2117202795"/>
                <w:placeholder>
                  <w:docPart w:val="56001FA0400446688B1C9112B6050765"/>
                </w:placeholder>
                <w:showingPlcHdr/>
              </w:sdtPr>
              <w:sdtEndPr/>
              <w:sdtContent>
                <w:r w:rsidR="00D6423A" w:rsidRPr="00C8502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1F14EBE" w14:textId="77777777" w:rsidR="00B75E96" w:rsidRPr="00C8502D" w:rsidRDefault="00B75E96" w:rsidP="00B75E96">
            <w:pPr>
              <w:spacing w:before="240"/>
              <w:rPr>
                <w:b/>
              </w:rPr>
            </w:pPr>
            <w:r w:rsidRPr="00C8502D">
              <w:rPr>
                <w:b/>
              </w:rPr>
              <w:t>Etat de l’échantillon :</w:t>
            </w:r>
          </w:p>
          <w:p w14:paraId="07FE3AF0" w14:textId="3957D4DA" w:rsidR="00B75E96" w:rsidRPr="00C8502D" w:rsidRDefault="004A22A7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 w:rsidRPr="00C8502D">
              <w:t xml:space="preserve"> Solide</w:t>
            </w:r>
          </w:p>
          <w:p w14:paraId="23818FB2" w14:textId="42201A5C" w:rsidR="00BD7390" w:rsidRPr="00C8502D" w:rsidRDefault="004A22A7" w:rsidP="00B75E96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2C" w:rsidRPr="00C850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E96" w:rsidRPr="00C8502D">
              <w:t xml:space="preserve"> Liquide</w:t>
            </w:r>
          </w:p>
          <w:p w14:paraId="15F78D0C" w14:textId="77777777" w:rsidR="00D6423A" w:rsidRPr="00C8502D" w:rsidRDefault="00D6423A" w:rsidP="00BD7390">
            <w:pPr>
              <w:spacing w:before="240"/>
              <w:rPr>
                <w:b/>
              </w:rPr>
            </w:pPr>
            <w:r w:rsidRPr="00C8502D">
              <w:rPr>
                <w:b/>
              </w:rPr>
              <w:t>Type de contaminants :</w:t>
            </w:r>
          </w:p>
          <w:p w14:paraId="3FBE3C97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Pesticides</w:t>
            </w:r>
          </w:p>
          <w:p w14:paraId="36C3493F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Allergènes</w:t>
            </w:r>
          </w:p>
          <w:p w14:paraId="53A00A26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Facteurs antinutritionnels</w:t>
            </w:r>
          </w:p>
          <w:p w14:paraId="1834A400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HAP</w:t>
            </w:r>
          </w:p>
          <w:p w14:paraId="194B931D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Dioxines &amp; PCB</w:t>
            </w:r>
          </w:p>
          <w:p w14:paraId="12884B0B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Impuretés botaniques</w:t>
            </w:r>
          </w:p>
          <w:p w14:paraId="14B8019F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Métaux</w:t>
            </w:r>
          </w:p>
          <w:p w14:paraId="13300C46" w14:textId="46DC1EC9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B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Mycotoxines</w:t>
            </w:r>
          </w:p>
          <w:p w14:paraId="10C1825C" w14:textId="77777777" w:rsidR="00D6423A" w:rsidRPr="00C8502D" w:rsidRDefault="004A22A7" w:rsidP="00D6423A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3A" w:rsidRPr="00C85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423A" w:rsidRPr="00C8502D">
              <w:t xml:space="preserve"> Néoformés</w:t>
            </w:r>
          </w:p>
          <w:p w14:paraId="5797E3C2" w14:textId="6B30429C" w:rsidR="00BD7390" w:rsidRPr="00BD7390" w:rsidRDefault="004A22A7" w:rsidP="003F2BD1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6423A" w:rsidRPr="00C8502D">
              <w:t xml:space="preserve"> Autre : </w:t>
            </w:r>
            <w:sdt>
              <w:sdtPr>
                <w:id w:val="-328983561"/>
                <w:placeholder>
                  <w:docPart w:val="A85AC09961C84AE594A7EC2DB621A3BF"/>
                </w:placeholder>
              </w:sdtPr>
              <w:sdtEndPr/>
              <w:sdtContent>
                <w:r w:rsidR="003F2BD1">
                  <w:t>Toxines de plantes</w:t>
                </w:r>
              </w:sdtContent>
            </w:sdt>
          </w:p>
        </w:tc>
        <w:bookmarkStart w:id="0" w:name="_GoBack"/>
        <w:bookmarkEnd w:id="0"/>
      </w:tr>
    </w:tbl>
    <w:p w14:paraId="5DAB6C7B" w14:textId="77777777" w:rsidR="00B75E96" w:rsidRDefault="00B75E96" w:rsidP="00EA5C20">
      <w:pPr>
        <w:rPr>
          <w:b/>
          <w:u w:val="single"/>
        </w:rPr>
      </w:pPr>
    </w:p>
    <w:p w14:paraId="308F43DA" w14:textId="77777777" w:rsidR="00B75E96" w:rsidRDefault="00B75E96" w:rsidP="00B75E96">
      <w:pPr>
        <w:spacing w:after="0"/>
        <w:rPr>
          <w:b/>
        </w:rPr>
      </w:pPr>
      <w:r>
        <w:rPr>
          <w:b/>
        </w:rPr>
        <w:lastRenderedPageBreak/>
        <w:t>Conditionnement de la matrice</w:t>
      </w:r>
      <w:r w:rsidRPr="00BD7390">
        <w:rPr>
          <w:b/>
        </w:rPr>
        <w:t> :</w:t>
      </w:r>
    </w:p>
    <w:p w14:paraId="4CC13140" w14:textId="160F3B34" w:rsidR="00B75E96" w:rsidRDefault="004A22A7" w:rsidP="00B75E96">
      <w:pPr>
        <w:spacing w:after="0"/>
        <w:ind w:left="360"/>
        <w:rPr>
          <w:b/>
        </w:rPr>
      </w:pPr>
      <w:sdt>
        <w:sdtPr>
          <w:rPr>
            <w:rFonts w:ascii="MS Gothic" w:eastAsia="MS Gothic" w:hAnsi="MS Gothic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Vrac</w:t>
      </w:r>
      <w:r w:rsidR="00E2252C">
        <w:tab/>
      </w:r>
      <w:sdt>
        <w:sdtPr>
          <w:rPr>
            <w:rFonts w:ascii="MS Gothic" w:eastAsia="MS Gothic" w:hAnsi="MS Gothic"/>
          </w:rPr>
          <w:id w:val="1844514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1B4A">
            <w:rPr>
              <w:rFonts w:ascii="MS Gothic" w:eastAsia="MS Gothic" w:hAnsi="MS Gothic" w:hint="eastAsia"/>
            </w:rPr>
            <w:t>☒</w:t>
          </w:r>
        </w:sdtContent>
      </w:sdt>
      <w:r w:rsidR="00B75E96" w:rsidRPr="000F073B">
        <w:t xml:space="preserve"> Conditionné</w:t>
      </w:r>
      <w:r w:rsidR="00B75E96" w:rsidRPr="007414A8">
        <w:rPr>
          <w:b/>
        </w:rPr>
        <w:t xml:space="preserve"> </w:t>
      </w:r>
    </w:p>
    <w:p w14:paraId="5A2B3B36" w14:textId="43FF598B" w:rsidR="00B75E96" w:rsidRPr="00BD7390" w:rsidRDefault="00B75E96" w:rsidP="00B75E96">
      <w:pPr>
        <w:spacing w:after="0"/>
        <w:rPr>
          <w:b/>
        </w:rPr>
      </w:pPr>
      <w:r w:rsidRPr="00BD7390">
        <w:rPr>
          <w:b/>
        </w:rPr>
        <w:t xml:space="preserve">Méthode </w:t>
      </w:r>
      <w:r>
        <w:rPr>
          <w:b/>
        </w:rPr>
        <w:t>d’échantillonnage</w:t>
      </w:r>
      <w:r w:rsidRPr="00BD7390">
        <w:rPr>
          <w:b/>
        </w:rPr>
        <w:t> :</w:t>
      </w:r>
      <w:r w:rsidR="003F2BD1" w:rsidRPr="003F2BD1">
        <w:t xml:space="preserve"> renvoi au Règlement d’exécution (UE) 2023/2782</w:t>
      </w:r>
    </w:p>
    <w:p w14:paraId="78F39109" w14:textId="42D01BFF" w:rsidR="00B75E96" w:rsidRPr="00404A9B" w:rsidRDefault="004A22A7" w:rsidP="00B75E96">
      <w:pPr>
        <w:spacing w:after="0"/>
        <w:ind w:left="360"/>
      </w:pPr>
      <w:sdt>
        <w:sdtPr>
          <w:rPr>
            <w:rFonts w:ascii="MS Gothic" w:eastAsia="MS Gothic" w:hAnsi="MS Gothic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4A9B" w:rsidRPr="00404A9B">
            <w:rPr>
              <w:rFonts w:ascii="MS Gothic" w:eastAsia="MS Gothic" w:hAnsi="MS Gothic" w:hint="eastAsia"/>
            </w:rPr>
            <w:t>☒</w:t>
          </w:r>
        </w:sdtContent>
      </w:sdt>
      <w:r w:rsidR="00B75E96" w:rsidRPr="00404A9B">
        <w:t xml:space="preserve"> Statique</w:t>
      </w:r>
    </w:p>
    <w:p w14:paraId="2B314BEA" w14:textId="77777777" w:rsidR="00B75E96" w:rsidRPr="00404A9B" w:rsidRDefault="004A22A7" w:rsidP="00B75E96">
      <w:pPr>
        <w:spacing w:after="0"/>
        <w:ind w:firstLine="360"/>
        <w:rPr>
          <w:b/>
          <w:u w:val="single"/>
        </w:rPr>
      </w:pPr>
      <w:sdt>
        <w:sdtPr>
          <w:rPr>
            <w:rFonts w:ascii="MS Gothic" w:eastAsia="MS Gothic" w:hAnsi="MS Gothic"/>
          </w:rPr>
          <w:id w:val="-179828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E96" w:rsidRPr="00404A9B">
            <w:rPr>
              <w:rFonts w:ascii="MS Gothic" w:eastAsia="MS Gothic" w:hAnsi="MS Gothic" w:hint="eastAsia"/>
            </w:rPr>
            <w:t>☐</w:t>
          </w:r>
        </w:sdtContent>
      </w:sdt>
      <w:r w:rsidR="00B75E96" w:rsidRPr="00404A9B">
        <w:t xml:space="preserve"> Continue</w:t>
      </w:r>
      <w:r w:rsidR="00B75E96" w:rsidRPr="00404A9B">
        <w:rPr>
          <w:b/>
          <w:u w:val="single"/>
        </w:rPr>
        <w:t xml:space="preserve"> </w:t>
      </w:r>
    </w:p>
    <w:p w14:paraId="1A13AFC1" w14:textId="5BE2C5AC" w:rsidR="00B75E96" w:rsidRDefault="00B75E96" w:rsidP="00B75E96">
      <w:pPr>
        <w:pStyle w:val="Paragraphedeliste"/>
        <w:numPr>
          <w:ilvl w:val="0"/>
          <w:numId w:val="1"/>
        </w:numPr>
      </w:pPr>
      <w:r w:rsidRPr="002D57A1">
        <w:rPr>
          <w:b/>
        </w:rPr>
        <w:t>Nb d’échantillons primaires</w:t>
      </w:r>
      <w:r>
        <w:t> :</w:t>
      </w:r>
      <w:r w:rsidR="00927B46">
        <w:t xml:space="preserve"> </w:t>
      </w:r>
    </w:p>
    <w:p w14:paraId="54483631" w14:textId="379AE5D2" w:rsidR="00B75E96" w:rsidRDefault="00B75E96" w:rsidP="00B75E96">
      <w:pPr>
        <w:pStyle w:val="Paragraphedeliste"/>
        <w:numPr>
          <w:ilvl w:val="0"/>
          <w:numId w:val="1"/>
        </w:numPr>
      </w:pPr>
      <w:r w:rsidRPr="00E2252C">
        <w:rPr>
          <w:b/>
        </w:rPr>
        <w:t>Quantité :</w:t>
      </w:r>
      <w:r w:rsidR="00E2252C">
        <w:tab/>
      </w:r>
      <w:r w:rsidRPr="00E2252C">
        <w:rPr>
          <w:b/>
        </w:rPr>
        <w:t xml:space="preserve">Fréquence : </w:t>
      </w:r>
      <w:r w:rsidR="00927B46">
        <w:t xml:space="preserve"> </w:t>
      </w:r>
      <w:r w:rsidR="00E2252C">
        <w:tab/>
      </w:r>
      <w:r w:rsidRPr="00E2252C">
        <w:rPr>
          <w:b/>
        </w:rPr>
        <w:t>Outils de prélèvement :</w:t>
      </w:r>
      <w:r>
        <w:t xml:space="preserve"> </w:t>
      </w:r>
      <w:r w:rsidR="00E2252C">
        <w:tab/>
      </w:r>
      <w:r w:rsidRPr="00E2252C">
        <w:rPr>
          <w:b/>
        </w:rPr>
        <w:t>Délai de mise en analyse :</w:t>
      </w:r>
    </w:p>
    <w:p w14:paraId="74758E4F" w14:textId="77777777" w:rsidR="00B75E96" w:rsidRPr="00B73151" w:rsidRDefault="00B75E96" w:rsidP="00B73151">
      <w:pPr>
        <w:spacing w:after="0"/>
        <w:rPr>
          <w:b/>
          <w:u w:val="single"/>
        </w:rPr>
      </w:pPr>
      <w:r w:rsidRPr="00B73151">
        <w:rPr>
          <w:b/>
          <w:u w:val="single"/>
        </w:rPr>
        <w:t>Quels éléments de réponse sont exp</w:t>
      </w:r>
      <w:r w:rsidR="00B73151">
        <w:rPr>
          <w:b/>
          <w:u w:val="single"/>
        </w:rPr>
        <w:t>licités dans le document ?</w:t>
      </w:r>
    </w:p>
    <w:p w14:paraId="1A234CE8" w14:textId="33DE18DA" w:rsidR="00B75E96" w:rsidRPr="000A39E3" w:rsidRDefault="004A22A7" w:rsidP="00B73151">
      <w:pPr>
        <w:spacing w:before="240" w:after="0"/>
        <w:ind w:firstLine="348"/>
        <w:rPr>
          <w:b/>
        </w:rPr>
      </w:pPr>
      <w:sdt>
        <w:sdtPr>
          <w:rPr>
            <w:rFonts w:ascii="MS Gothic" w:eastAsia="MS Gothic" w:hAnsi="MS Gothic"/>
          </w:rPr>
          <w:id w:val="1152485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65B5">
            <w:rPr>
              <w:rFonts w:ascii="MS Gothic" w:eastAsia="MS Gothic" w:hAnsi="MS Gothic" w:hint="eastAsia"/>
            </w:rPr>
            <w:t>☒</w:t>
          </w:r>
        </w:sdtContent>
      </w:sdt>
      <w:r w:rsidR="00B75E96" w:rsidRPr="000A39E3">
        <w:t xml:space="preserve"> </w:t>
      </w:r>
      <w:r w:rsidR="00B75E96" w:rsidRPr="00B75E96">
        <w:rPr>
          <w:b/>
        </w:rPr>
        <w:t>Représentativité d’échantillonnage</w:t>
      </w:r>
      <w:r w:rsidR="00B75E96">
        <w:t xml:space="preserve"> </w:t>
      </w:r>
      <w:r w:rsidR="00B75E96" w:rsidRPr="00707DDC">
        <w:t xml:space="preserve">(quantité, nb d’échantillons primaires, </w:t>
      </w:r>
      <w:proofErr w:type="gramStart"/>
      <w:r w:rsidR="0083136C" w:rsidRPr="00707DDC">
        <w:t>statistique</w:t>
      </w:r>
      <w:r w:rsidR="0083136C">
        <w:t>..</w:t>
      </w:r>
      <w:proofErr w:type="gramEnd"/>
      <w:r w:rsidR="00B75E96" w:rsidRPr="00707DDC">
        <w:t>)</w:t>
      </w:r>
      <w:r w:rsidR="003F2BD1">
        <w:t> :</w:t>
      </w:r>
      <w:r w:rsidR="003F2BD1" w:rsidRPr="003F2BD1">
        <w:t xml:space="preserve"> renvoi au Règlement d’exécution (UE) 2023/2782</w:t>
      </w:r>
    </w:p>
    <w:p w14:paraId="6CEAC297" w14:textId="456500E8" w:rsidR="00B75E96" w:rsidRDefault="004A22A7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4581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4A9B">
            <w:rPr>
              <w:rFonts w:ascii="MS Gothic" w:eastAsia="MS Gothic" w:hAnsi="MS Gothic" w:hint="eastAsia"/>
            </w:rPr>
            <w:t>☒</w:t>
          </w:r>
        </w:sdtContent>
      </w:sdt>
      <w:r w:rsidR="00B75E96" w:rsidRPr="00404A9B">
        <w:t xml:space="preserve"> </w:t>
      </w:r>
      <w:r w:rsidR="00B75E96" w:rsidRPr="00404A9B">
        <w:rPr>
          <w:b/>
        </w:rPr>
        <w:t xml:space="preserve">Méthode d’échantillonnage </w:t>
      </w:r>
      <w:r w:rsidR="00B75E96" w:rsidRPr="00404A9B">
        <w:t>(technique, outils, plan d’échantillonnage, fréquence…)</w:t>
      </w:r>
      <w:r w:rsidR="003F2BD1">
        <w:t> :</w:t>
      </w:r>
      <w:r w:rsidR="003F2BD1" w:rsidRPr="003F2BD1">
        <w:t xml:space="preserve"> renvoi au Règlement d’exécution (UE) 2023/2782</w:t>
      </w:r>
      <w:r w:rsidR="00AE17AB">
        <w:t xml:space="preserve"> </w:t>
      </w:r>
      <w:r w:rsidR="00F86B1D">
        <w:t xml:space="preserve">partie II de l’annexe I </w:t>
      </w:r>
      <w:r w:rsidR="00AE17AB">
        <w:t xml:space="preserve">sauf : </w:t>
      </w:r>
    </w:p>
    <w:p w14:paraId="07C7CE4C" w14:textId="4EE0AAA2" w:rsidR="00AE17AB" w:rsidRDefault="00AE17AB" w:rsidP="00AE17AB">
      <w:pPr>
        <w:pStyle w:val="Paragraphedeliste"/>
        <w:numPr>
          <w:ilvl w:val="2"/>
          <w:numId w:val="1"/>
        </w:numPr>
        <w:spacing w:after="0"/>
      </w:pPr>
      <w:r>
        <w:t xml:space="preserve">Annexe I - Partie I - </w:t>
      </w:r>
      <w:r w:rsidRPr="00404A9B">
        <w:t xml:space="preserve">Paragraphe A2 : formule mathématique « guide » pour calculer la fréquence d’échantillonnage (=nombre d’emballages individuels séparant le prélèvement de deux échantillons) pour les conditionnements distincts. </w:t>
      </w:r>
    </w:p>
    <w:p w14:paraId="1BFEE757" w14:textId="0E0050DE" w:rsidR="00F86B1D" w:rsidRDefault="00F86B1D" w:rsidP="00AE17AB">
      <w:pPr>
        <w:pStyle w:val="Paragraphedeliste"/>
        <w:numPr>
          <w:ilvl w:val="2"/>
          <w:numId w:val="1"/>
        </w:numPr>
        <w:spacing w:after="0"/>
      </w:pPr>
      <w:r>
        <w:t>Application de la partie B de l’annexe du règlement (CE) n° 333/2007 (Pommes de terre et produits à base de pommes de terre)</w:t>
      </w:r>
    </w:p>
    <w:p w14:paraId="1B9F2B56" w14:textId="76934778" w:rsidR="00B75E96" w:rsidRDefault="004A22A7" w:rsidP="00B73151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83943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60276">
            <w:rPr>
              <w:rFonts w:ascii="MS Gothic" w:eastAsia="MS Gothic" w:hAnsi="MS Gothic" w:hint="eastAsia"/>
            </w:rPr>
            <w:t>☒</w:t>
          </w:r>
        </w:sdtContent>
      </w:sdt>
      <w:r w:rsidR="00B75E96" w:rsidRPr="00160276">
        <w:rPr>
          <w:b/>
        </w:rPr>
        <w:t xml:space="preserve"> Contamination</w:t>
      </w:r>
      <w:r w:rsidR="00B75E96" w:rsidRPr="00160276">
        <w:t xml:space="preserve"> (contenants non adaptés, contamination croisée…)</w:t>
      </w:r>
      <w:r w:rsidR="003F2BD1">
        <w:t xml:space="preserve"> </w:t>
      </w:r>
    </w:p>
    <w:p w14:paraId="5E3D8086" w14:textId="77777777" w:rsidR="00DA4F1F" w:rsidRPr="00DA4F1F" w:rsidRDefault="00DA4F1F" w:rsidP="00DA4F1F">
      <w:pPr>
        <w:spacing w:after="0"/>
        <w:ind w:left="708"/>
        <w:contextualSpacing/>
      </w:pPr>
      <w:r w:rsidRPr="00DA4F1F">
        <w:t>Annexe I – Partie I- Paragraphe A.1.7 et 8 : quelques précisions sur le conditionnement, l’envoi, la fermeture et l’étiquetage des échantillons.</w:t>
      </w:r>
    </w:p>
    <w:p w14:paraId="1277E195" w14:textId="77777777" w:rsidR="00F86B1D" w:rsidRDefault="004A22A7" w:rsidP="00F86B1D">
      <w:pPr>
        <w:spacing w:before="240" w:after="0"/>
        <w:ind w:firstLine="348"/>
      </w:pPr>
      <w:sdt>
        <w:sdtPr>
          <w:rPr>
            <w:rFonts w:ascii="MS Gothic" w:eastAsia="MS Gothic" w:hAnsi="MS Gothic"/>
          </w:rPr>
          <w:id w:val="-8984451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2608" w:rsidRPr="00160276">
            <w:rPr>
              <w:rFonts w:ascii="MS Gothic" w:eastAsia="MS Gothic" w:hAnsi="MS Gothic" w:hint="eastAsia"/>
            </w:rPr>
            <w:t>☒</w:t>
          </w:r>
        </w:sdtContent>
      </w:sdt>
      <w:r w:rsidR="00B75E96" w:rsidRPr="00160276">
        <w:rPr>
          <w:b/>
          <w:bCs/>
        </w:rPr>
        <w:t xml:space="preserve"> Application/Analyse</w:t>
      </w:r>
      <w:r w:rsidR="00B75E96" w:rsidRPr="00160276">
        <w:t xml:space="preserve"> (</w:t>
      </w:r>
      <w:r w:rsidR="5C65802F" w:rsidRPr="00160276">
        <w:t>délai avant mise en analyse, conditions de conservation, stockage, stabilité du prélèvement</w:t>
      </w:r>
      <w:r w:rsidR="00B75E96" w:rsidRPr="00160276">
        <w:t>…)</w:t>
      </w:r>
    </w:p>
    <w:p w14:paraId="33437390" w14:textId="77777777" w:rsidR="00F86B1D" w:rsidRDefault="00F86B1D" w:rsidP="00F86B1D">
      <w:pPr>
        <w:spacing w:after="0"/>
        <w:ind w:left="709"/>
        <w:contextualSpacing/>
      </w:pPr>
    </w:p>
    <w:p w14:paraId="74AEDEDE" w14:textId="59CCA830" w:rsidR="00F86B1D" w:rsidRPr="00F86B1D" w:rsidRDefault="00F86B1D" w:rsidP="00F86B1D">
      <w:pPr>
        <w:spacing w:after="0"/>
        <w:ind w:left="709"/>
        <w:contextualSpacing/>
      </w:pPr>
      <w:r w:rsidRPr="00F86B1D">
        <w:t xml:space="preserve">L’annexe </w:t>
      </w:r>
      <w:r>
        <w:t>II</w:t>
      </w:r>
      <w:r w:rsidRPr="00F86B1D">
        <w:t xml:space="preserve"> décrit les critères applicables à la préparation des échantillons et aux méthodes d’analyse utilisées pour le contrôle officiel des teneurs en mycotoxines des denrées alimentaires.</w:t>
      </w:r>
    </w:p>
    <w:p w14:paraId="7B1EFEDF" w14:textId="5E8C3F94" w:rsidR="00F86B1D" w:rsidRDefault="00F86B1D" w:rsidP="00F86B1D">
      <w:pPr>
        <w:spacing w:before="240" w:after="0"/>
        <w:ind w:left="708"/>
      </w:pPr>
      <w:r>
        <w:t>Un point d’attention cependant : Annexe II – Point 4.1 : les méthodes analytiques de confirmation doivent correspondent aux dispositions de l’annexe III, points 1 et 2 du règlement (UE) 2017/625</w:t>
      </w:r>
    </w:p>
    <w:p w14:paraId="2213BF97" w14:textId="457005A7" w:rsidR="00B75E96" w:rsidRPr="00160276" w:rsidRDefault="00B75E96" w:rsidP="00F86B1D">
      <w:pPr>
        <w:spacing w:before="240" w:after="0"/>
        <w:ind w:left="708"/>
      </w:pPr>
      <w:r w:rsidRPr="00160276">
        <w:rPr>
          <w:b/>
          <w:color w:val="FF0000"/>
          <w:u w:val="single"/>
        </w:rPr>
        <w:br w:type="page"/>
      </w:r>
    </w:p>
    <w:p w14:paraId="5F68D03B" w14:textId="77777777" w:rsidR="00DA4F1F" w:rsidRPr="00DA4F1F" w:rsidRDefault="00DA4F1F" w:rsidP="00DA4F1F">
      <w:pPr>
        <w:rPr>
          <w:b/>
          <w:u w:val="single"/>
        </w:rPr>
      </w:pPr>
      <w:r w:rsidRPr="00DA4F1F">
        <w:rPr>
          <w:b/>
          <w:u w:val="single"/>
        </w:rPr>
        <w:lastRenderedPageBreak/>
        <w:t>Synthèse</w:t>
      </w:r>
    </w:p>
    <w:p w14:paraId="5309622A" w14:textId="77777777" w:rsidR="00DA4F1F" w:rsidRPr="00DA4F1F" w:rsidRDefault="00DA4F1F" w:rsidP="00DA4F1F">
      <w:pPr>
        <w:rPr>
          <w:i/>
        </w:rPr>
      </w:pPr>
      <w:r w:rsidRPr="00DA4F1F">
        <w:rPr>
          <w:b/>
        </w:rPr>
        <w:t>Quelles sont les principales limites du document ? Quelles sont les points forts du document ?</w:t>
      </w:r>
    </w:p>
    <w:tbl>
      <w:tblPr>
        <w:tblStyle w:val="Grilledutableau1"/>
        <w:tblW w:w="14359" w:type="dxa"/>
        <w:tblLook w:val="04A0" w:firstRow="1" w:lastRow="0" w:firstColumn="1" w:lastColumn="0" w:noHBand="0" w:noVBand="1"/>
      </w:tblPr>
      <w:tblGrid>
        <w:gridCol w:w="2689"/>
        <w:gridCol w:w="9922"/>
        <w:gridCol w:w="1748"/>
      </w:tblGrid>
      <w:tr w:rsidR="00DA4F1F" w:rsidRPr="00DA4F1F" w14:paraId="5DB715D5" w14:textId="77777777" w:rsidTr="00E610E4">
        <w:tc>
          <w:tcPr>
            <w:tcW w:w="2689" w:type="dxa"/>
          </w:tcPr>
          <w:p w14:paraId="2A07D354" w14:textId="77777777" w:rsidR="00DA4F1F" w:rsidRPr="00DA4F1F" w:rsidRDefault="00DA4F1F" w:rsidP="00DA4F1F">
            <w:pPr>
              <w:jc w:val="center"/>
              <w:rPr>
                <w:b/>
              </w:rPr>
            </w:pPr>
            <w:r w:rsidRPr="00DA4F1F">
              <w:rPr>
                <w:b/>
              </w:rPr>
              <w:t>Notions</w:t>
            </w:r>
          </w:p>
        </w:tc>
        <w:tc>
          <w:tcPr>
            <w:tcW w:w="9922" w:type="dxa"/>
          </w:tcPr>
          <w:p w14:paraId="094310D7" w14:textId="77777777" w:rsidR="00DA4F1F" w:rsidRPr="00DA4F1F" w:rsidRDefault="00DA4F1F" w:rsidP="00DA4F1F">
            <w:pPr>
              <w:jc w:val="center"/>
              <w:rPr>
                <w:b/>
              </w:rPr>
            </w:pPr>
            <w:r w:rsidRPr="00DA4F1F">
              <w:rPr>
                <w:b/>
              </w:rPr>
              <w:t>Points forts</w:t>
            </w:r>
          </w:p>
        </w:tc>
        <w:tc>
          <w:tcPr>
            <w:tcW w:w="1748" w:type="dxa"/>
          </w:tcPr>
          <w:p w14:paraId="6CE9BAFB" w14:textId="77777777" w:rsidR="00DA4F1F" w:rsidRPr="00DA4F1F" w:rsidRDefault="00DA4F1F" w:rsidP="00DA4F1F">
            <w:pPr>
              <w:jc w:val="center"/>
              <w:rPr>
                <w:b/>
              </w:rPr>
            </w:pPr>
            <w:r w:rsidRPr="00DA4F1F">
              <w:rPr>
                <w:b/>
              </w:rPr>
              <w:t>Faiblesses</w:t>
            </w:r>
          </w:p>
        </w:tc>
      </w:tr>
      <w:tr w:rsidR="00DA4F1F" w:rsidRPr="00DA4F1F" w14:paraId="4372FDB3" w14:textId="77777777" w:rsidTr="00E610E4">
        <w:trPr>
          <w:trHeight w:val="1488"/>
        </w:trPr>
        <w:tc>
          <w:tcPr>
            <w:tcW w:w="2689" w:type="dxa"/>
          </w:tcPr>
          <w:p w14:paraId="53CD86E3" w14:textId="77777777" w:rsidR="00DA4F1F" w:rsidRPr="00DA4F1F" w:rsidRDefault="00DA4F1F" w:rsidP="00DA4F1F">
            <w:pPr>
              <w:rPr>
                <w:sz w:val="20"/>
              </w:rPr>
            </w:pPr>
            <w:r w:rsidRPr="00DA4F1F">
              <w:rPr>
                <w:b/>
                <w:sz w:val="20"/>
              </w:rPr>
              <w:t>Représentativité d’échantillonnage</w:t>
            </w:r>
            <w:r w:rsidRPr="00DA4F1F">
              <w:rPr>
                <w:sz w:val="20"/>
              </w:rPr>
              <w:t xml:space="preserve"> (quantité, nb d’échantillons primaires, statistique,…)</w:t>
            </w:r>
          </w:p>
        </w:tc>
        <w:tc>
          <w:tcPr>
            <w:tcW w:w="9922" w:type="dxa"/>
          </w:tcPr>
          <w:p w14:paraId="0EBC8BA2" w14:textId="77777777" w:rsidR="00DA4F1F" w:rsidRPr="00DA4F1F" w:rsidRDefault="00DA4F1F" w:rsidP="00DA4F1F">
            <w:r w:rsidRPr="00DA4F1F">
              <w:t>Des définitions de terminologie : lot, sous lot, échantillon élémentaire, échantillon global, échantillon de laboratoire….</w:t>
            </w:r>
          </w:p>
          <w:p w14:paraId="1C14174D" w14:textId="58A5FFC0" w:rsidR="00DA4F1F" w:rsidRPr="00DA4F1F" w:rsidRDefault="00DA4F1F" w:rsidP="00DA4F1F">
            <w:pPr>
              <w:tabs>
                <w:tab w:val="left" w:pos="1860"/>
              </w:tabs>
            </w:pPr>
            <w:r>
              <w:t>Descriptions précises du nombre d’échantillons élémentaires en fonction de la taille des lots et des denrées alimentaires</w:t>
            </w:r>
          </w:p>
          <w:p w14:paraId="49CEAA22" w14:textId="77777777" w:rsidR="00DA4F1F" w:rsidRPr="00DA4F1F" w:rsidRDefault="00DA4F1F" w:rsidP="00DA4F1F">
            <w:pPr>
              <w:tabs>
                <w:tab w:val="left" w:pos="1860"/>
              </w:tabs>
            </w:pPr>
            <w:r w:rsidRPr="00DA4F1F">
              <w:t>Méthode d'échantillonnage des très grands lots ou des lots stockés ou transportés</w:t>
            </w:r>
          </w:p>
          <w:p w14:paraId="1861A6EE" w14:textId="77777777" w:rsidR="00DA4F1F" w:rsidRPr="00DA4F1F" w:rsidRDefault="00DA4F1F" w:rsidP="00DA4F1F">
            <w:pPr>
              <w:tabs>
                <w:tab w:val="left" w:pos="1860"/>
              </w:tabs>
            </w:pPr>
          </w:p>
        </w:tc>
        <w:tc>
          <w:tcPr>
            <w:tcW w:w="1748" w:type="dxa"/>
          </w:tcPr>
          <w:p w14:paraId="754DC45C" w14:textId="3989B97F" w:rsidR="00DA4F1F" w:rsidRPr="00DA4F1F" w:rsidRDefault="00DA4F1F" w:rsidP="00DA4F1F">
            <w:pPr>
              <w:jc w:val="center"/>
            </w:pPr>
            <w:r>
              <w:t>Beaucoup de renvoi au règlement (UE) 2023/2782</w:t>
            </w:r>
          </w:p>
        </w:tc>
      </w:tr>
      <w:tr w:rsidR="00DA4F1F" w:rsidRPr="00DA4F1F" w14:paraId="5D9AF6EA" w14:textId="77777777" w:rsidTr="00E610E4">
        <w:trPr>
          <w:trHeight w:val="1281"/>
        </w:trPr>
        <w:tc>
          <w:tcPr>
            <w:tcW w:w="2689" w:type="dxa"/>
          </w:tcPr>
          <w:p w14:paraId="2D7B94AB" w14:textId="77777777" w:rsidR="00DA4F1F" w:rsidRPr="00DA4F1F" w:rsidRDefault="00DA4F1F" w:rsidP="00DA4F1F">
            <w:pPr>
              <w:rPr>
                <w:sz w:val="20"/>
              </w:rPr>
            </w:pPr>
            <w:r w:rsidRPr="00DA4F1F">
              <w:rPr>
                <w:b/>
                <w:sz w:val="20"/>
              </w:rPr>
              <w:t>Méthode d’échantillonnage</w:t>
            </w:r>
            <w:r w:rsidRPr="00DA4F1F">
              <w:rPr>
                <w:sz w:val="20"/>
              </w:rPr>
              <w:t xml:space="preserve"> (technique, outils, plan d’échantillonnage, fréquence…)</w:t>
            </w:r>
          </w:p>
        </w:tc>
        <w:tc>
          <w:tcPr>
            <w:tcW w:w="9922" w:type="dxa"/>
          </w:tcPr>
          <w:p w14:paraId="79033963" w14:textId="77777777" w:rsidR="00DA4F1F" w:rsidRPr="00DA4F1F" w:rsidRDefault="00DA4F1F" w:rsidP="00DA4F1F"/>
          <w:p w14:paraId="0BBD7FEE" w14:textId="77777777" w:rsidR="00DA4F1F" w:rsidRPr="00DA4F1F" w:rsidRDefault="00DA4F1F" w:rsidP="00DA4F1F">
            <w:r w:rsidRPr="00DA4F1F">
              <w:t>Pas de description d’outils</w:t>
            </w:r>
          </w:p>
          <w:p w14:paraId="7FE195C3" w14:textId="01F224BD" w:rsidR="00DA4F1F" w:rsidRPr="00DA4F1F" w:rsidRDefault="00DA4F1F" w:rsidP="00DA4F1F">
            <w:r>
              <w:t>Formule générale pour la fréquence d’échantillonnage</w:t>
            </w:r>
          </w:p>
        </w:tc>
        <w:tc>
          <w:tcPr>
            <w:tcW w:w="1748" w:type="dxa"/>
          </w:tcPr>
          <w:p w14:paraId="0C3B64E9" w14:textId="77777777" w:rsidR="00DA4F1F" w:rsidRPr="00DA4F1F" w:rsidRDefault="00DA4F1F" w:rsidP="00DA4F1F">
            <w:pPr>
              <w:rPr>
                <w:color w:val="FF0000"/>
              </w:rPr>
            </w:pPr>
            <w:r w:rsidRPr="00DA4F1F">
              <w:t>Pas de dispositions concernant les méthodes de réduction d’échantillon</w:t>
            </w:r>
          </w:p>
        </w:tc>
      </w:tr>
      <w:tr w:rsidR="00DA4F1F" w:rsidRPr="00DA4F1F" w14:paraId="46D44A9F" w14:textId="77777777" w:rsidTr="00E610E4">
        <w:trPr>
          <w:trHeight w:val="833"/>
        </w:trPr>
        <w:tc>
          <w:tcPr>
            <w:tcW w:w="2689" w:type="dxa"/>
          </w:tcPr>
          <w:p w14:paraId="1CFF58A9" w14:textId="77777777" w:rsidR="00DA4F1F" w:rsidRPr="00DA4F1F" w:rsidRDefault="00DA4F1F" w:rsidP="00DA4F1F">
            <w:pPr>
              <w:rPr>
                <w:sz w:val="20"/>
              </w:rPr>
            </w:pPr>
            <w:r w:rsidRPr="00DA4F1F">
              <w:rPr>
                <w:b/>
                <w:sz w:val="20"/>
              </w:rPr>
              <w:t>Contamination</w:t>
            </w:r>
            <w:r w:rsidRPr="00DA4F1F">
              <w:rPr>
                <w:sz w:val="20"/>
              </w:rPr>
              <w:t xml:space="preserve"> (contenants non adaptés, contamination croisée…)</w:t>
            </w:r>
          </w:p>
        </w:tc>
        <w:tc>
          <w:tcPr>
            <w:tcW w:w="9922" w:type="dxa"/>
          </w:tcPr>
          <w:p w14:paraId="0AF90338" w14:textId="77777777" w:rsidR="00DA4F1F" w:rsidRPr="00DA4F1F" w:rsidRDefault="00DA4F1F" w:rsidP="00DA4F1F"/>
        </w:tc>
        <w:tc>
          <w:tcPr>
            <w:tcW w:w="1748" w:type="dxa"/>
          </w:tcPr>
          <w:p w14:paraId="0DFD3B30" w14:textId="11C78E12" w:rsidR="00DA4F1F" w:rsidRPr="00DA4F1F" w:rsidRDefault="00DA4F1F" w:rsidP="00DA4F1F">
            <w:r>
              <w:t>Pas de mesures concrètes sur ces dispositions</w:t>
            </w:r>
          </w:p>
        </w:tc>
      </w:tr>
      <w:tr w:rsidR="00DA4F1F" w:rsidRPr="00DA4F1F" w14:paraId="42A88323" w14:textId="77777777" w:rsidTr="00E610E4">
        <w:trPr>
          <w:trHeight w:val="1139"/>
        </w:trPr>
        <w:tc>
          <w:tcPr>
            <w:tcW w:w="2689" w:type="dxa"/>
          </w:tcPr>
          <w:p w14:paraId="593F99B7" w14:textId="77777777" w:rsidR="00DA4F1F" w:rsidRPr="00DA4F1F" w:rsidRDefault="00DA4F1F" w:rsidP="00DA4F1F">
            <w:pPr>
              <w:rPr>
                <w:sz w:val="20"/>
                <w:szCs w:val="20"/>
              </w:rPr>
            </w:pPr>
            <w:r w:rsidRPr="00DA4F1F">
              <w:rPr>
                <w:b/>
                <w:bCs/>
                <w:sz w:val="20"/>
                <w:szCs w:val="20"/>
              </w:rPr>
              <w:t>Application/Analyse</w:t>
            </w:r>
            <w:r w:rsidRPr="00DA4F1F">
              <w:rPr>
                <w:sz w:val="20"/>
                <w:szCs w:val="20"/>
              </w:rPr>
              <w:t xml:space="preserve"> (</w:t>
            </w:r>
            <w:r w:rsidRPr="00DA4F1F">
              <w:t>délai avant mise en analyse, conditions de conservation, stockage, stabilité du prélèvement</w:t>
            </w:r>
            <w:r w:rsidRPr="00DA4F1F">
              <w:rPr>
                <w:sz w:val="20"/>
                <w:szCs w:val="20"/>
              </w:rPr>
              <w:t>)</w:t>
            </w:r>
          </w:p>
        </w:tc>
        <w:tc>
          <w:tcPr>
            <w:tcW w:w="9922" w:type="dxa"/>
          </w:tcPr>
          <w:p w14:paraId="77F8E728" w14:textId="77777777" w:rsidR="00DA4F1F" w:rsidRPr="00DA4F1F" w:rsidRDefault="00DA4F1F" w:rsidP="00DA4F1F">
            <w:r w:rsidRPr="00DA4F1F">
              <w:t>Des critères de performances généralisées pour toutes les mycotoxines</w:t>
            </w:r>
          </w:p>
          <w:p w14:paraId="22C8D608" w14:textId="77777777" w:rsidR="00DA4F1F" w:rsidRPr="00DA4F1F" w:rsidRDefault="00DA4F1F" w:rsidP="00DA4F1F">
            <w:r w:rsidRPr="00DA4F1F">
              <w:t>Des dispositions spécifiques relatives aux LOQ par mycotoxines</w:t>
            </w:r>
          </w:p>
          <w:p w14:paraId="0DC7A4FC" w14:textId="77777777" w:rsidR="00DA4F1F" w:rsidRPr="00DA4F1F" w:rsidRDefault="00DA4F1F" w:rsidP="00DA4F1F">
            <w:r w:rsidRPr="00DA4F1F">
              <w:t>Des dispositions pour la validation des méthodes analytiques</w:t>
            </w:r>
          </w:p>
          <w:p w14:paraId="3F11143D" w14:textId="77777777" w:rsidR="00DA4F1F" w:rsidRPr="00DA4F1F" w:rsidRDefault="00DA4F1F" w:rsidP="00DA4F1F">
            <w:r w:rsidRPr="00DA4F1F">
              <w:t>Des dispositions liées à l’enregistrement du résultat et la prise en compte de l’incertitude</w:t>
            </w:r>
          </w:p>
        </w:tc>
        <w:tc>
          <w:tcPr>
            <w:tcW w:w="1748" w:type="dxa"/>
          </w:tcPr>
          <w:p w14:paraId="0D4246F3" w14:textId="77777777" w:rsidR="00DA4F1F" w:rsidRPr="00DA4F1F" w:rsidRDefault="00DA4F1F" w:rsidP="00DA4F1F">
            <w:pPr>
              <w:rPr>
                <w:color w:val="FF0000"/>
              </w:rPr>
            </w:pPr>
            <w:r w:rsidRPr="00DA4F1F">
              <w:t>Pas d’information sur délai avant mise en analyse, conditions de conservation, stockage, stabilité du prélèvement.</w:t>
            </w:r>
          </w:p>
        </w:tc>
      </w:tr>
    </w:tbl>
    <w:p w14:paraId="55BBABA8" w14:textId="77777777" w:rsidR="00DA4F1F" w:rsidRPr="00DA4F1F" w:rsidRDefault="00DA4F1F" w:rsidP="00DA4F1F">
      <w:pPr>
        <w:rPr>
          <w:color w:val="FF0000"/>
        </w:rPr>
      </w:pPr>
    </w:p>
    <w:p w14:paraId="3DEEC669" w14:textId="77777777" w:rsidR="006639BA" w:rsidRPr="00EA5C20" w:rsidRDefault="006639BA" w:rsidP="00DA4F1F"/>
    <w:sectPr w:rsidR="006639BA" w:rsidRPr="00EA5C20" w:rsidSect="00CE2608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0F49"/>
    <w:multiLevelType w:val="hybridMultilevel"/>
    <w:tmpl w:val="B9AECC92"/>
    <w:lvl w:ilvl="0" w:tplc="F9A83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6"/>
    <w:rsid w:val="000245C4"/>
    <w:rsid w:val="00051FA2"/>
    <w:rsid w:val="00056226"/>
    <w:rsid w:val="000F3C5C"/>
    <w:rsid w:val="00113FCD"/>
    <w:rsid w:val="00160276"/>
    <w:rsid w:val="00164672"/>
    <w:rsid w:val="001C457E"/>
    <w:rsid w:val="00252DB5"/>
    <w:rsid w:val="002740B1"/>
    <w:rsid w:val="003361EA"/>
    <w:rsid w:val="003510B4"/>
    <w:rsid w:val="003935BF"/>
    <w:rsid w:val="003F2BD1"/>
    <w:rsid w:val="003F6C88"/>
    <w:rsid w:val="00404A9B"/>
    <w:rsid w:val="0042428A"/>
    <w:rsid w:val="00424316"/>
    <w:rsid w:val="00453741"/>
    <w:rsid w:val="004564EF"/>
    <w:rsid w:val="004A22A7"/>
    <w:rsid w:val="004F4AC0"/>
    <w:rsid w:val="004F5780"/>
    <w:rsid w:val="005C1838"/>
    <w:rsid w:val="005C74B8"/>
    <w:rsid w:val="005D3C60"/>
    <w:rsid w:val="006016CF"/>
    <w:rsid w:val="006639BA"/>
    <w:rsid w:val="00707DDC"/>
    <w:rsid w:val="00721CC6"/>
    <w:rsid w:val="007E5EBC"/>
    <w:rsid w:val="0083136C"/>
    <w:rsid w:val="0089724C"/>
    <w:rsid w:val="0090331B"/>
    <w:rsid w:val="00927B46"/>
    <w:rsid w:val="00965610"/>
    <w:rsid w:val="009D7485"/>
    <w:rsid w:val="00A04D07"/>
    <w:rsid w:val="00A10AAD"/>
    <w:rsid w:val="00AC2F16"/>
    <w:rsid w:val="00AE17AB"/>
    <w:rsid w:val="00B14619"/>
    <w:rsid w:val="00B73151"/>
    <w:rsid w:val="00B75E96"/>
    <w:rsid w:val="00BA0214"/>
    <w:rsid w:val="00BB1B4A"/>
    <w:rsid w:val="00BD1DB1"/>
    <w:rsid w:val="00BD7390"/>
    <w:rsid w:val="00BE55EE"/>
    <w:rsid w:val="00BE65B5"/>
    <w:rsid w:val="00C15F1F"/>
    <w:rsid w:val="00C4303D"/>
    <w:rsid w:val="00C43E67"/>
    <w:rsid w:val="00C8502D"/>
    <w:rsid w:val="00C90DEE"/>
    <w:rsid w:val="00CE2608"/>
    <w:rsid w:val="00D6423A"/>
    <w:rsid w:val="00DA4F1F"/>
    <w:rsid w:val="00DD0B44"/>
    <w:rsid w:val="00E03B0E"/>
    <w:rsid w:val="00E2252C"/>
    <w:rsid w:val="00EA5C20"/>
    <w:rsid w:val="00EC4651"/>
    <w:rsid w:val="00F74DCD"/>
    <w:rsid w:val="00F86B1D"/>
    <w:rsid w:val="00FD2BEA"/>
    <w:rsid w:val="00FF159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customStyle="1" w:styleId="CM1">
    <w:name w:val="CM1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A0214"/>
    <w:rPr>
      <w:color w:val="auto"/>
    </w:rPr>
  </w:style>
  <w:style w:type="table" w:customStyle="1" w:styleId="Grilledutableau1">
    <w:name w:val="Grille du tableau1"/>
    <w:basedOn w:val="TableauNormal"/>
    <w:next w:val="Grilledutableau"/>
    <w:uiPriority w:val="39"/>
    <w:rsid w:val="00DA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41"/>
    <w:rsid w:val="00453741"/>
    <w:rsid w:val="006D3DC6"/>
    <w:rsid w:val="00A74141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7AD98-FBE7-4DAD-9301-CEDC70E3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2c00f-b959-4f35-b7b1-bb6b8bbb4778"/>
    <ds:schemaRef ds:uri="d166f2b2-25b1-4ae0-82ff-faec7da07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87650-837E-4DB0-8F26-4BE11BE0EF05}">
  <ds:schemaRefs>
    <ds:schemaRef ds:uri="d166f2b2-25b1-4ae0-82ff-faec7da0797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d52c00f-b959-4f35-b7b1-bb6b8bbb477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Schwebel</dc:creator>
  <cp:keywords/>
  <dc:description/>
  <cp:lastModifiedBy>RIGAL Graziella</cp:lastModifiedBy>
  <cp:revision>6</cp:revision>
  <dcterms:created xsi:type="dcterms:W3CDTF">2024-04-12T06:12:00Z</dcterms:created>
  <dcterms:modified xsi:type="dcterms:W3CDTF">2024-04-12T07:59:00Z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